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 w:val="0"/>
          <w:bCs w:val="0"/>
          <w:sz w:val="30"/>
          <w:szCs w:val="30"/>
        </w:rPr>
      </w:pPr>
      <w:bookmarkStart w:id="1" w:name="_GoBack"/>
      <w:bookmarkStart w:id="0" w:name="_Toc24724726"/>
      <w:r>
        <w:rPr>
          <w:rFonts w:hint="eastAsia" w:ascii="黑体" w:hAnsi="黑体" w:eastAsia="黑体" w:cs="黑体"/>
          <w:b w:val="0"/>
          <w:bCs w:val="0"/>
          <w:sz w:val="30"/>
          <w:szCs w:val="30"/>
        </w:rPr>
        <w:t>救灾领域基层政务公开标准目录</w:t>
      </w:r>
      <w:bookmarkEnd w:id="1"/>
      <w:bookmarkEnd w:id="0"/>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83"/>
        <w:gridCol w:w="915"/>
        <w:gridCol w:w="1650"/>
        <w:gridCol w:w="540"/>
        <w:gridCol w:w="720"/>
        <w:gridCol w:w="540"/>
        <w:gridCol w:w="720"/>
        <w:gridCol w:w="540"/>
        <w:gridCol w:w="664"/>
      </w:tblGrid>
      <w:tr>
        <w:tblPrEx>
          <w:tblLayout w:type="fixed"/>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olor w:val="000000"/>
                <w:kern w:val="0"/>
                <w:sz w:val="24"/>
                <w:szCs w:val="24"/>
              </w:rPr>
            </w:pPr>
            <w:r>
              <w:rPr>
                <w:rFonts w:hint="eastAsia" w:ascii="黑体" w:hAnsi="宋体" w:eastAsia="黑体" w:cs="宋体"/>
                <w:color w:val="000000"/>
                <w:kern w:val="0"/>
                <w:sz w:val="24"/>
                <w:szCs w:val="24"/>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21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Layout w:type="fixed"/>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olor w:val="000000"/>
                <w:kern w:val="0"/>
                <w:sz w:val="24"/>
                <w:szCs w:val="24"/>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szCs w:val="24"/>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szCs w:val="24"/>
              </w:rPr>
            </w:pPr>
          </w:p>
        </w:tc>
        <w:tc>
          <w:tcPr>
            <w:tcW w:w="2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 w:val="24"/>
                <w:szCs w:val="24"/>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Layout w:type="fixed"/>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》、《关于全面推进政务公开工作的意见》</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》、《国务院办公厅关于在政务公开工作中进一步做好政务舆情回应的通知》</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》、《关于全面推进政务公开工作的意见》</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》、《关于全面推进政务公开工作的意见》</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政府信息公开条例</w:t>
            </w:r>
            <w:r>
              <w:rPr>
                <w:rFonts w:hint="eastAsia" w:ascii="仿宋_GB2312" w:eastAsia="仿宋_GB2312"/>
                <w:sz w:val="18"/>
                <w:szCs w:val="18"/>
              </w:rPr>
              <w:t>》、《社会救助暂行办法》、《国家综合防灾减灾规划（2016-2020年）》</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》、《自然灾害救助条例》</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》、《自然灾害救助条例》</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》、《自然灾害救助条例》</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》、《自然灾害救助条例》</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》、《自然灾害救助条例》</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政府信息公开条例</w:t>
            </w:r>
            <w:r>
              <w:rPr>
                <w:rFonts w:hint="eastAsia" w:ascii="仿宋_GB2312" w:eastAsia="仿宋_GB2312"/>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政府信息公开条例</w:t>
            </w:r>
            <w:r>
              <w:rPr>
                <w:rFonts w:hint="eastAsia" w:ascii="仿宋_GB2312" w:eastAsia="仿宋_GB2312"/>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政府信息公开条例</w:t>
            </w:r>
            <w:r>
              <w:rPr>
                <w:rFonts w:hint="eastAsia" w:ascii="仿宋_GB2312" w:eastAsia="仿宋_GB2312"/>
                <w:sz w:val="18"/>
                <w:szCs w:val="18"/>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ascii="仿宋_GB2312" w:hAnsi="宋体" w:eastAsia="仿宋_GB2312" w:cs="宋体"/>
                <w:sz w:val="18"/>
                <w:szCs w:val="18"/>
              </w:rPr>
            </w:pPr>
            <w:r>
              <w:rPr>
                <w:rFonts w:hint="eastAsia" w:ascii="仿宋_GB2312" w:eastAsia="仿宋_GB2312"/>
                <w:sz w:val="18"/>
                <w:szCs w:val="18"/>
              </w:rPr>
              <w:t>应急管理部门</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ascii="Times New Roman" w:hAnsi="Times New Roman" w:eastAsia="方正小标宋_GBK"/>
          <w:sz w:val="28"/>
          <w:szCs w:val="28"/>
        </w:rPr>
      </w:pPr>
    </w:p>
    <w:p>
      <w:pPr>
        <w:rPr>
          <w:rFonts w:ascii="仿宋_GB2312" w:hAnsi="仿宋_GB2312" w:eastAsia="仿宋_GB2312" w:cs="仿宋_GB2312"/>
          <w:sz w:val="30"/>
        </w:rPr>
      </w:pPr>
    </w:p>
    <w:p/>
    <w:sectPr>
      <w:footerReference r:id="rId3" w:type="default"/>
      <w:pgSz w:w="16838" w:h="11906" w:orient="landscape"/>
      <w:pgMar w:top="1803" w:right="1440" w:bottom="1803" w:left="1440" w:header="851" w:footer="992"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B3BC2"/>
    <w:rsid w:val="0D3B3B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2021-08-31T01:35:00Z</dcterms:created>
  <dc:creator>Administrator</dc:creator>
  <cp:lastModifiedBy>Administrator</cp:lastModifiedBy>
  <dcterms:modified xsi:type="dcterms:W3CDTF">2021-08-31T01:35:57Z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