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748" w:tblpY="1713"/>
        <w:tblOverlap w:val="never"/>
        <w:tblW w:w="15085" w:type="dxa"/>
        <w:tblInd w:w="0" w:type="dxa"/>
        <w:shd w:val="clear" w:color="auto" w:fill="auto"/>
        <w:tblLayout w:type="fixed"/>
        <w:tblCellMar>
          <w:top w:w="0" w:type="dxa"/>
          <w:left w:w="0" w:type="dxa"/>
          <w:bottom w:w="0" w:type="dxa"/>
          <w:right w:w="0" w:type="dxa"/>
        </w:tblCellMar>
      </w:tblPr>
      <w:tblGrid>
        <w:gridCol w:w="1276"/>
        <w:gridCol w:w="899"/>
        <w:gridCol w:w="1230"/>
        <w:gridCol w:w="1230"/>
        <w:gridCol w:w="1530"/>
        <w:gridCol w:w="1695"/>
        <w:gridCol w:w="1275"/>
        <w:gridCol w:w="1215"/>
        <w:gridCol w:w="1260"/>
        <w:gridCol w:w="675"/>
        <w:gridCol w:w="825"/>
        <w:gridCol w:w="795"/>
        <w:gridCol w:w="1180"/>
      </w:tblGrid>
      <w:tr>
        <w:tblPrEx>
          <w:tblCellMar>
            <w:top w:w="0" w:type="dxa"/>
            <w:left w:w="0" w:type="dxa"/>
            <w:bottom w:w="0" w:type="dxa"/>
            <w:right w:w="0" w:type="dxa"/>
          </w:tblCellMar>
        </w:tblPrEx>
        <w:trPr>
          <w:trHeight w:val="285" w:hRule="atLeast"/>
        </w:trPr>
        <w:tc>
          <w:tcPr>
            <w:tcW w:w="15085" w:type="dxa"/>
            <w:gridSpan w:val="13"/>
            <w:vMerge w:val="restar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default" w:ascii="方正小标宋简体" w:hAnsi="方正小标宋简体" w:eastAsia="方正小标宋简体" w:cs="方正小标宋简体"/>
                <w:i w:val="0"/>
                <w:color w:val="000000"/>
                <w:kern w:val="0"/>
                <w:sz w:val="36"/>
                <w:szCs w:val="36"/>
                <w:u w:val="none"/>
                <w:lang w:val="en-US" w:eastAsia="zh-CN" w:bidi="ar"/>
              </w:rPr>
              <w:t>河津市</w:t>
            </w:r>
            <w:r>
              <w:rPr>
                <w:rFonts w:hint="eastAsia" w:ascii="方正小标宋简体" w:hAnsi="方正小标宋简体" w:eastAsia="方正小标宋简体" w:cs="方正小标宋简体"/>
                <w:i w:val="0"/>
                <w:color w:val="000000"/>
                <w:kern w:val="0"/>
                <w:sz w:val="36"/>
                <w:szCs w:val="36"/>
                <w:u w:val="none"/>
                <w:lang w:val="en-US" w:eastAsia="zh-CN" w:bidi="ar"/>
              </w:rPr>
              <w:t>公共文化服务领域</w:t>
            </w:r>
            <w:r>
              <w:rPr>
                <w:rFonts w:hint="default" w:ascii="方正小标宋简体" w:hAnsi="方正小标宋简体" w:eastAsia="方正小标宋简体" w:cs="方正小标宋简体"/>
                <w:i w:val="0"/>
                <w:color w:val="000000"/>
                <w:kern w:val="0"/>
                <w:sz w:val="36"/>
                <w:szCs w:val="36"/>
                <w:u w:val="none"/>
                <w:lang w:val="en-US" w:eastAsia="zh-CN" w:bidi="ar"/>
              </w:rPr>
              <w:t>基层政务公开标准目录</w:t>
            </w:r>
            <w:bookmarkEnd w:id="0"/>
          </w:p>
        </w:tc>
      </w:tr>
      <w:tr>
        <w:tblPrEx>
          <w:tblCellMar>
            <w:top w:w="0" w:type="dxa"/>
            <w:left w:w="0" w:type="dxa"/>
            <w:bottom w:w="0" w:type="dxa"/>
            <w:right w:w="0" w:type="dxa"/>
          </w:tblCellMar>
        </w:tblPrEx>
        <w:trPr>
          <w:trHeight w:val="285" w:hRule="atLeast"/>
        </w:trPr>
        <w:tc>
          <w:tcPr>
            <w:tcW w:w="15085" w:type="dxa"/>
            <w:gridSpan w:val="13"/>
            <w:vMerge w:val="continue"/>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36"/>
                <w:szCs w:val="36"/>
                <w:u w:val="none"/>
              </w:rPr>
            </w:pPr>
          </w:p>
        </w:tc>
      </w:tr>
      <w:tr>
        <w:tblPrEx>
          <w:tblCellMar>
            <w:top w:w="0" w:type="dxa"/>
            <w:left w:w="0" w:type="dxa"/>
            <w:bottom w:w="0" w:type="dxa"/>
            <w:right w:w="0" w:type="dxa"/>
          </w:tblCellMar>
        </w:tblPrEx>
        <w:trPr>
          <w:trHeight w:val="300" w:hRule="atLeast"/>
        </w:trPr>
        <w:tc>
          <w:tcPr>
            <w:tcW w:w="15085" w:type="dxa"/>
            <w:gridSpan w:val="13"/>
            <w:vMerge w:val="continue"/>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hint="default" w:ascii="方正小标宋简体" w:hAnsi="方正小标宋简体" w:eastAsia="方正小标宋简体" w:cs="方正小标宋简体"/>
                <w:i w:val="0"/>
                <w:color w:val="000000"/>
                <w:sz w:val="36"/>
                <w:szCs w:val="36"/>
                <w:u w:val="none"/>
              </w:rPr>
            </w:pPr>
          </w:p>
        </w:tc>
      </w:tr>
      <w:tr>
        <w:tblPrEx>
          <w:tblCellMar>
            <w:top w:w="0" w:type="dxa"/>
            <w:left w:w="0" w:type="dxa"/>
            <w:bottom w:w="0" w:type="dxa"/>
            <w:right w:w="0" w:type="dxa"/>
          </w:tblCellMar>
        </w:tblPrEx>
        <w:trPr>
          <w:trHeight w:val="300" w:hRule="atLeast"/>
        </w:trPr>
        <w:tc>
          <w:tcPr>
            <w:tcW w:w="127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w:t>
            </w:r>
          </w:p>
        </w:tc>
        <w:tc>
          <w:tcPr>
            <w:tcW w:w="246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公开事项</w:t>
            </w:r>
          </w:p>
        </w:tc>
        <w:tc>
          <w:tcPr>
            <w:tcW w:w="15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公开内容（要素）</w:t>
            </w:r>
          </w:p>
        </w:tc>
        <w:tc>
          <w:tcPr>
            <w:tcW w:w="169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4"/>
                <w:lang w:val="en-US" w:eastAsia="zh-CN" w:bidi="ar"/>
              </w:rPr>
              <w:t>公</w:t>
            </w:r>
            <w:r>
              <w:rPr>
                <w:rStyle w:val="5"/>
                <w:rFonts w:eastAsia="宋体"/>
                <w:lang w:val="en-US" w:eastAsia="zh-CN" w:bidi="ar"/>
              </w:rPr>
              <w:t xml:space="preserve">  </w:t>
            </w:r>
            <w:r>
              <w:rPr>
                <w:rStyle w:val="4"/>
                <w:lang w:val="en-US" w:eastAsia="zh-CN" w:bidi="ar"/>
              </w:rPr>
              <w:t>开</w:t>
            </w:r>
            <w:r>
              <w:rPr>
                <w:rStyle w:val="5"/>
                <w:rFonts w:eastAsia="宋体"/>
                <w:lang w:val="en-US" w:eastAsia="zh-CN" w:bidi="ar"/>
              </w:rPr>
              <w:t xml:space="preserve">  </w:t>
            </w:r>
            <w:r>
              <w:rPr>
                <w:rStyle w:val="4"/>
                <w:lang w:val="en-US" w:eastAsia="zh-CN" w:bidi="ar"/>
              </w:rPr>
              <w:t>依</w:t>
            </w:r>
            <w:r>
              <w:rPr>
                <w:rStyle w:val="5"/>
                <w:rFonts w:eastAsia="宋体"/>
                <w:lang w:val="en-US" w:eastAsia="zh-CN" w:bidi="ar"/>
              </w:rPr>
              <w:t xml:space="preserve">  </w:t>
            </w:r>
            <w:r>
              <w:rPr>
                <w:rStyle w:val="4"/>
                <w:lang w:val="en-US" w:eastAsia="zh-CN" w:bidi="ar"/>
              </w:rPr>
              <w:t>据</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公开时限</w:t>
            </w:r>
          </w:p>
        </w:tc>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公开主体</w:t>
            </w:r>
          </w:p>
        </w:tc>
        <w:tc>
          <w:tcPr>
            <w:tcW w:w="12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公开渠道和载体</w:t>
            </w:r>
          </w:p>
        </w:tc>
        <w:tc>
          <w:tcPr>
            <w:tcW w:w="150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公开对象</w:t>
            </w:r>
          </w:p>
        </w:tc>
        <w:tc>
          <w:tcPr>
            <w:tcW w:w="1975"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公开方式</w:t>
            </w:r>
          </w:p>
        </w:tc>
      </w:tr>
      <w:tr>
        <w:tblPrEx>
          <w:tblCellMar>
            <w:top w:w="0" w:type="dxa"/>
            <w:left w:w="0" w:type="dxa"/>
            <w:bottom w:w="0" w:type="dxa"/>
            <w:right w:w="0" w:type="dxa"/>
          </w:tblCellMar>
        </w:tblPrEx>
        <w:trPr>
          <w:trHeight w:val="285" w:hRule="atLeast"/>
        </w:trPr>
        <w:tc>
          <w:tcPr>
            <w:tcW w:w="127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一级目录</w:t>
            </w:r>
          </w:p>
        </w:tc>
        <w:tc>
          <w:tcPr>
            <w:tcW w:w="12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二级目录</w:t>
            </w:r>
          </w:p>
        </w:tc>
        <w:tc>
          <w:tcPr>
            <w:tcW w:w="15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特定群众</w:t>
            </w:r>
          </w:p>
        </w:tc>
        <w:tc>
          <w:tcPr>
            <w:tcW w:w="79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11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w:t>
            </w:r>
          </w:p>
        </w:tc>
      </w:tr>
      <w:tr>
        <w:tblPrEx>
          <w:tblCellMar>
            <w:top w:w="0" w:type="dxa"/>
            <w:left w:w="0" w:type="dxa"/>
            <w:bottom w:w="0" w:type="dxa"/>
            <w:right w:w="0" w:type="dxa"/>
          </w:tblCellMar>
        </w:tblPrEx>
        <w:trPr>
          <w:trHeight w:val="300" w:hRule="atLeast"/>
        </w:trPr>
        <w:tc>
          <w:tcPr>
            <w:tcW w:w="127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请公开</w:t>
            </w:r>
          </w:p>
        </w:tc>
      </w:tr>
    </w:tbl>
    <w:tbl>
      <w:tblPr>
        <w:tblStyle w:val="2"/>
        <w:tblpPr w:leftFromText="180" w:rightFromText="180" w:vertAnchor="text" w:horzAnchor="page" w:tblpX="748" w:tblpY="451"/>
        <w:tblOverlap w:val="never"/>
        <w:tblW w:w="15120" w:type="dxa"/>
        <w:tblInd w:w="0" w:type="dxa"/>
        <w:shd w:val="clear" w:color="auto" w:fill="auto"/>
        <w:tblLayout w:type="fixed"/>
        <w:tblCellMar>
          <w:top w:w="0" w:type="dxa"/>
          <w:left w:w="0" w:type="dxa"/>
          <w:bottom w:w="0" w:type="dxa"/>
          <w:right w:w="0" w:type="dxa"/>
        </w:tblCellMar>
      </w:tblPr>
      <w:tblGrid>
        <w:gridCol w:w="1304"/>
        <w:gridCol w:w="886"/>
        <w:gridCol w:w="1200"/>
        <w:gridCol w:w="1222"/>
        <w:gridCol w:w="1643"/>
        <w:gridCol w:w="1608"/>
        <w:gridCol w:w="1249"/>
        <w:gridCol w:w="1249"/>
        <w:gridCol w:w="1253"/>
        <w:gridCol w:w="690"/>
        <w:gridCol w:w="790"/>
        <w:gridCol w:w="792"/>
        <w:gridCol w:w="1234"/>
      </w:tblGrid>
      <w:tr>
        <w:tblPrEx>
          <w:tblCellMar>
            <w:top w:w="0" w:type="dxa"/>
            <w:left w:w="0" w:type="dxa"/>
            <w:bottom w:w="0" w:type="dxa"/>
            <w:right w:w="0" w:type="dxa"/>
          </w:tblCellMar>
        </w:tblPrEx>
        <w:trPr>
          <w:trHeight w:val="675" w:hRule="atLeast"/>
        </w:trPr>
        <w:tc>
          <w:tcPr>
            <w:tcW w:w="13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等线" w:cs="Times New Roman"/>
                <w:i w:val="0"/>
                <w:color w:val="000000"/>
                <w:sz w:val="18"/>
                <w:szCs w:val="18"/>
                <w:u w:val="none"/>
                <w:lang w:val="en-US" w:eastAsia="zh-CN"/>
              </w:rPr>
            </w:pPr>
            <w:r>
              <w:rPr>
                <w:rFonts w:hint="eastAsia" w:ascii="Times New Roman" w:hAnsi="Times New Roman" w:eastAsia="等线" w:cs="Times New Roman"/>
                <w:i w:val="0"/>
                <w:color w:val="000000"/>
                <w:sz w:val="18"/>
                <w:szCs w:val="18"/>
                <w:u w:val="none"/>
                <w:lang w:val="en-US" w:eastAsia="zh-CN"/>
              </w:rPr>
              <w:t>1</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2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公共文化机构免费开放信息</w:t>
            </w: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1.机构名称</w:t>
            </w:r>
            <w:r>
              <w:rPr>
                <w:rFonts w:hint="default" w:ascii="宋体" w:hAnsi="宋体" w:eastAsia="宋体" w:cs="宋体"/>
                <w:i w:val="0"/>
                <w:color w:val="000000"/>
                <w:kern w:val="0"/>
                <w:sz w:val="18"/>
                <w:szCs w:val="18"/>
                <w:u w:val="none"/>
                <w:lang w:val="en-US" w:eastAsia="zh-CN" w:bidi="ar"/>
              </w:rPr>
              <w:t>:</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《中华人民共和国公共文化服务保障法》</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河津市人民文化馆</w:t>
            </w: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12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2.开放时间</w:t>
            </w:r>
            <w:r>
              <w:rPr>
                <w:rFonts w:hint="default" w:ascii="宋体" w:hAnsi="宋体" w:eastAsia="宋体" w:cs="宋体"/>
                <w:i w:val="0"/>
                <w:color w:val="000000"/>
                <w:kern w:val="0"/>
                <w:sz w:val="18"/>
                <w:szCs w:val="18"/>
                <w:u w:val="none"/>
                <w:lang w:val="en-US" w:eastAsia="zh-CN" w:bidi="ar"/>
              </w:rPr>
              <w:t>:</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☑两微一端      □发布会/听证会</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1622"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机构地址</w:t>
            </w:r>
            <w:r>
              <w:rPr>
                <w:rFonts w:hint="default" w:ascii="宋体" w:hAnsi="宋体" w:eastAsia="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《文化部财政部关于推进全国美术馆、公共图书馆、文化馆（站）免费开放工作的意见》（文财务发[2011]5号）</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      □纸质媒体</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149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4、联系电话</w:t>
            </w:r>
            <w:r>
              <w:rPr>
                <w:rFonts w:hint="default" w:ascii="宋体" w:hAnsi="宋体" w:eastAsia="宋体" w:cs="宋体"/>
                <w:i w:val="0"/>
                <w:color w:val="000000"/>
                <w:kern w:val="0"/>
                <w:sz w:val="18"/>
                <w:szCs w:val="18"/>
                <w:u w:val="none"/>
                <w:lang w:val="en-US" w:eastAsia="zh-CN" w:bidi="ar"/>
              </w:rPr>
              <w:t>:</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《文化部财政部关于做好城市社区（街道）文化中心免费开放工作的通知》（文财务函[2016]171号）</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□公开查阅点    □政务服务中心</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jc w:val="left"/>
              <w:rPr>
                <w:rFonts w:hint="eastAsia" w:ascii="Calibri" w:hAnsi="Calibri" w:eastAsia="等线" w:cs="Calibri"/>
                <w:i w:val="0"/>
                <w:color w:val="000000"/>
                <w:sz w:val="21"/>
                <w:szCs w:val="21"/>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□社区/企事业单位/村公示栏（电子屏）</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6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□精准推送      □其他</w:t>
            </w:r>
            <w:r>
              <w:rPr>
                <w:rStyle w:val="5"/>
                <w:lang w:val="en-US" w:eastAsia="zh-CN" w:bidi="ar"/>
              </w:rPr>
              <w:t xml:space="preserve">    </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90" w:hRule="atLeast"/>
        </w:trPr>
        <w:tc>
          <w:tcPr>
            <w:tcW w:w="13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等线" w:cs="Times New Roman"/>
                <w:i w:val="0"/>
                <w:color w:val="000000"/>
                <w:sz w:val="18"/>
                <w:szCs w:val="18"/>
                <w:u w:val="none"/>
                <w:lang w:val="en-US" w:eastAsia="zh-CN"/>
              </w:rPr>
            </w:pPr>
            <w:r>
              <w:rPr>
                <w:rFonts w:hint="eastAsia" w:ascii="Times New Roman" w:hAnsi="Times New Roman" w:eastAsia="等线" w:cs="Times New Roman"/>
                <w:i w:val="0"/>
                <w:color w:val="000000"/>
                <w:sz w:val="18"/>
                <w:szCs w:val="18"/>
                <w:u w:val="none"/>
                <w:lang w:val="en-US" w:eastAsia="zh-CN"/>
              </w:rPr>
              <w:t>2</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2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特殊群体公共文化服务信息</w:t>
            </w: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《残疾人保障法》</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河津市人民文化馆</w:t>
            </w: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12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机构名称：</w:t>
            </w:r>
          </w:p>
          <w:p>
            <w:pPr>
              <w:keepNext w:val="0"/>
              <w:keepLines w:val="0"/>
              <w:widowControl/>
              <w:numPr>
                <w:ilvl w:val="0"/>
                <w:numId w:val="2"/>
              </w:numPr>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开放时间：</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☑两微一端      □发布会/听证会</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132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3.机构地址：</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4.联系电话：</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《中共中央办公厅国务院办公厅印发关于加快构建现代公共文化服务体系的意见》（中办发[2015]号）</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      □纸质媒体</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eastAsia="zh-CN"/>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□公开查阅点    □政务服务中心</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□社区/企事业单位/村公示栏（电子屏）</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6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□精准推送      □其他</w:t>
            </w:r>
            <w:r>
              <w:rPr>
                <w:rStyle w:val="5"/>
                <w:lang w:val="en-US" w:eastAsia="zh-CN" w:bidi="ar"/>
              </w:rPr>
              <w:t xml:space="preserve">    </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等线" w:cs="Times New Roman"/>
                <w:i w:val="0"/>
                <w:color w:val="000000"/>
                <w:sz w:val="18"/>
                <w:szCs w:val="18"/>
                <w:u w:val="none"/>
                <w:lang w:val="en-US" w:eastAsia="zh-CN"/>
              </w:rPr>
            </w:pPr>
            <w:r>
              <w:rPr>
                <w:rFonts w:hint="eastAsia" w:ascii="Times New Roman" w:hAnsi="Times New Roman" w:eastAsia="等线" w:cs="Times New Roman"/>
                <w:i w:val="0"/>
                <w:color w:val="000000"/>
                <w:sz w:val="18"/>
                <w:szCs w:val="18"/>
                <w:u w:val="none"/>
                <w:lang w:val="en-US" w:eastAsia="zh-CN"/>
              </w:rPr>
              <w:t>3</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2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组织开展群众文化活动</w:t>
            </w:r>
          </w:p>
        </w:tc>
        <w:tc>
          <w:tcPr>
            <w:tcW w:w="164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tabs>
                <w:tab w:val="center" w:pos="787"/>
              </w:tabs>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1.机构名称：</w:t>
            </w:r>
          </w:p>
        </w:tc>
        <w:tc>
          <w:tcPr>
            <w:tcW w:w="160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河津市人民文化馆</w:t>
            </w:r>
          </w:p>
        </w:tc>
        <w:tc>
          <w:tcPr>
            <w:tcW w:w="125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12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90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2.开放时间：</w:t>
            </w:r>
          </w:p>
        </w:tc>
        <w:tc>
          <w:tcPr>
            <w:tcW w:w="1608"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《文化馆服务标准》（GBT32939-2016）</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☑两微一端      □发布会/听证会</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3.机构地址：</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      □纸质媒体</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4.联系电话：</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□公开查阅点    □政务服务中心</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□社区/企事业单位/村公示栏（电子屏）</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6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☑精准推送      □其他</w:t>
            </w:r>
            <w:r>
              <w:rPr>
                <w:rStyle w:val="5"/>
                <w:lang w:val="en-US" w:eastAsia="zh-CN" w:bidi="ar"/>
              </w:rPr>
              <w:t xml:space="preserve">    </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等线" w:cs="Times New Roman"/>
                <w:i w:val="0"/>
                <w:color w:val="000000"/>
                <w:sz w:val="18"/>
                <w:szCs w:val="18"/>
                <w:u w:val="none"/>
                <w:lang w:val="en-US" w:eastAsia="zh-CN"/>
              </w:rPr>
            </w:pPr>
            <w:r>
              <w:rPr>
                <w:rFonts w:hint="eastAsia" w:ascii="Times New Roman" w:hAnsi="Times New Roman" w:eastAsia="等线" w:cs="Times New Roman"/>
                <w:i w:val="0"/>
                <w:color w:val="000000"/>
                <w:sz w:val="18"/>
                <w:szCs w:val="18"/>
                <w:u w:val="none"/>
                <w:lang w:val="en-US" w:eastAsia="zh-CN"/>
              </w:rPr>
              <w:t>4</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2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下基层辅导、演出、展览和指导基层群众文化活动</w:t>
            </w: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1.机构名称：</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河津市人民文化馆</w:t>
            </w: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12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90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2.开放时间：</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《文化馆服务标准》（GBT32939-2016）</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□两微一端      □发布会/听证会</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3.机构地址：</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      □纸质媒体</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4.联系电话：</w:t>
            </w:r>
          </w:p>
        </w:tc>
        <w:tc>
          <w:tcPr>
            <w:tcW w:w="160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□公开查阅点    □政务服务中心</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□社区/企事业单位/村公示栏（电子屏）</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6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□精准推送      □其他</w:t>
            </w:r>
            <w:r>
              <w:rPr>
                <w:rStyle w:val="5"/>
                <w:lang w:val="en-US" w:eastAsia="zh-CN" w:bidi="ar"/>
              </w:rPr>
              <w:t xml:space="preserve">    </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等线" w:cs="Times New Roman"/>
                <w:i w:val="0"/>
                <w:color w:val="000000"/>
                <w:sz w:val="18"/>
                <w:szCs w:val="18"/>
                <w:u w:val="none"/>
                <w:lang w:val="en-US" w:eastAsia="zh-CN"/>
              </w:rPr>
            </w:pPr>
            <w:r>
              <w:rPr>
                <w:rFonts w:hint="eastAsia" w:ascii="Times New Roman" w:hAnsi="Times New Roman" w:eastAsia="等线" w:cs="Times New Roman"/>
                <w:i w:val="0"/>
                <w:color w:val="000000"/>
                <w:sz w:val="18"/>
                <w:szCs w:val="18"/>
                <w:u w:val="none"/>
                <w:lang w:val="en-US" w:eastAsia="zh-CN"/>
              </w:rPr>
              <w:t>5</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2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举办各类展览、讲座信息</w:t>
            </w: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1.机构名称：</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河津市人民文化馆</w:t>
            </w: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12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112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2.开放时间：</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《乡镇综合文化站管理办法》（中华人民共和国文化部令第48号）</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□两微一端      □发布会/听证会</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3.机构地址：</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      □纸质媒体</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4.联系电话：</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□公开查阅点    □政务服务中心</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☑社区/企事业单位/村公示栏（电子屏）</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6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□精准推送      □其他</w:t>
            </w:r>
            <w:r>
              <w:rPr>
                <w:rStyle w:val="5"/>
                <w:lang w:val="en-US" w:eastAsia="zh-CN" w:bidi="ar"/>
              </w:rPr>
              <w:t xml:space="preserve">    </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等线" w:cs="Times New Roman"/>
                <w:i w:val="0"/>
                <w:color w:val="000000"/>
                <w:sz w:val="18"/>
                <w:szCs w:val="18"/>
                <w:u w:val="none"/>
                <w:lang w:val="en-US" w:eastAsia="zh-CN"/>
              </w:rPr>
            </w:pPr>
            <w:r>
              <w:rPr>
                <w:rFonts w:hint="eastAsia" w:ascii="Times New Roman" w:hAnsi="Times New Roman" w:eastAsia="等线" w:cs="Times New Roman"/>
                <w:i w:val="0"/>
                <w:color w:val="000000"/>
                <w:sz w:val="18"/>
                <w:szCs w:val="18"/>
                <w:u w:val="none"/>
                <w:lang w:val="en-US" w:eastAsia="zh-CN"/>
              </w:rPr>
              <w:t>6</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公共服务</w:t>
            </w:r>
          </w:p>
        </w:tc>
        <w:tc>
          <w:tcPr>
            <w:tcW w:w="12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辅导和培训基层文化骨干</w:t>
            </w:r>
          </w:p>
        </w:tc>
        <w:tc>
          <w:tcPr>
            <w:tcW w:w="1643"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1.机构名称：</w:t>
            </w:r>
          </w:p>
        </w:tc>
        <w:tc>
          <w:tcPr>
            <w:tcW w:w="1608"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《中华人民共和国政府信息公开条例》</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信息形成或变更之日起20个工作日内公开</w:t>
            </w:r>
          </w:p>
        </w:tc>
        <w:tc>
          <w:tcPr>
            <w:tcW w:w="124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河津市人民文化馆</w:t>
            </w:r>
          </w:p>
        </w:tc>
        <w:tc>
          <w:tcPr>
            <w:tcW w:w="1253" w:type="dxa"/>
            <w:tcBorders>
              <w:top w:val="single" w:color="auto" w:sz="4"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7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等线" w:cs="Arial"/>
                <w:i w:val="0"/>
                <w:color w:val="000000"/>
                <w:sz w:val="18"/>
                <w:szCs w:val="18"/>
                <w:u w:val="none"/>
              </w:rPr>
            </w:pPr>
            <w:r>
              <w:rPr>
                <w:rFonts w:hint="default" w:ascii="Arial" w:hAnsi="Arial" w:eastAsia="等线" w:cs="Arial"/>
                <w:i w:val="0"/>
                <w:color w:val="000000"/>
                <w:kern w:val="0"/>
                <w:sz w:val="18"/>
                <w:szCs w:val="18"/>
                <w:u w:val="none"/>
                <w:lang w:val="en-US" w:eastAsia="zh-CN" w:bidi="ar"/>
              </w:rPr>
              <w:t>√</w:t>
            </w:r>
          </w:p>
        </w:tc>
        <w:tc>
          <w:tcPr>
            <w:tcW w:w="12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9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2.开放时间：</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《乡镇综合文化站管理办法》（中华人民共和国文化部令第48号）</w:t>
            </w: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□两微一端      □发布会/听证会</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14"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3.机构地址：</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      □纸质媒体</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4.联系电话：</w:t>
            </w: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□公开查阅点    □政务服务中心</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50"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☑便民服务站    □入户/现场</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67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nil"/>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☑社区/企事业单位/村公示栏（电子屏）</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r>
        <w:tblPrEx>
          <w:tblCellMar>
            <w:top w:w="0" w:type="dxa"/>
            <w:left w:w="0" w:type="dxa"/>
            <w:bottom w:w="0" w:type="dxa"/>
            <w:right w:w="0" w:type="dxa"/>
          </w:tblCellMar>
        </w:tblPrEx>
        <w:trPr>
          <w:trHeight w:val="465" w:hRule="atLeast"/>
        </w:trPr>
        <w:tc>
          <w:tcPr>
            <w:tcW w:w="130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4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60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hint="eastAsia" w:ascii="等线" w:hAnsi="等线" w:eastAsia="等线" w:cs="等线"/>
                <w:i w:val="0"/>
                <w:color w:val="000000"/>
                <w:sz w:val="22"/>
                <w:szCs w:val="22"/>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6"/>
                <w:lang w:val="en-US" w:eastAsia="zh-CN" w:bidi="ar"/>
              </w:rPr>
              <w:t>□精准推送      □其他</w:t>
            </w:r>
            <w:r>
              <w:rPr>
                <w:rStyle w:val="5"/>
                <w:lang w:val="en-US" w:eastAsia="zh-CN" w:bidi="ar"/>
              </w:rPr>
              <w:t xml:space="preserve">    </w:t>
            </w: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7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c>
          <w:tcPr>
            <w:tcW w:w="79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Arial" w:hAnsi="Arial" w:eastAsia="等线" w:cs="Arial"/>
                <w:i w:val="0"/>
                <w:color w:val="000000"/>
                <w:sz w:val="18"/>
                <w:szCs w:val="18"/>
                <w:u w:val="none"/>
              </w:rPr>
            </w:pPr>
          </w:p>
        </w:tc>
        <w:tc>
          <w:tcPr>
            <w:tcW w:w="12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w:altName w:val="草檀斋毛泽东字体"/>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草檀斋毛泽东字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EE808"/>
    <w:multiLevelType w:val="singleLevel"/>
    <w:tmpl w:val="F2AEE808"/>
    <w:lvl w:ilvl="0" w:tentative="0">
      <w:start w:val="1"/>
      <w:numFmt w:val="decimal"/>
      <w:lvlText w:val="%1."/>
      <w:lvlJc w:val="left"/>
      <w:pPr>
        <w:tabs>
          <w:tab w:val="left" w:pos="312"/>
        </w:tabs>
      </w:pPr>
    </w:lvl>
  </w:abstractNum>
  <w:abstractNum w:abstractNumId="1">
    <w:nsid w:val="6A781719"/>
    <w:multiLevelType w:val="singleLevel"/>
    <w:tmpl w:val="6A781719"/>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F1EDD"/>
    <w:rsid w:val="1AAB38B9"/>
    <w:rsid w:val="24E576C9"/>
    <w:rsid w:val="2EBF1EDD"/>
    <w:rsid w:val="3A377220"/>
    <w:rsid w:val="574B372D"/>
    <w:rsid w:val="5AFE4649"/>
    <w:rsid w:val="70061FD1"/>
    <w:rsid w:val="79FC2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18"/>
      <w:szCs w:val="18"/>
      <w:u w:val="none"/>
    </w:rPr>
  </w:style>
  <w:style w:type="character" w:customStyle="1" w:styleId="5">
    <w:name w:val="font01"/>
    <w:basedOn w:val="3"/>
    <w:qFormat/>
    <w:uiPriority w:val="0"/>
    <w:rPr>
      <w:rFonts w:hint="default" w:ascii="Times New Roman" w:hAnsi="Times New Roman" w:cs="Times New Roman"/>
      <w:color w:val="000000"/>
      <w:sz w:val="18"/>
      <w:szCs w:val="18"/>
      <w:u w:val="none"/>
    </w:rPr>
  </w:style>
  <w:style w:type="character" w:customStyle="1" w:styleId="6">
    <w:name w:val="font4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2020-10-20T08:45:00Z</dcterms:created>
  <dc:creator>YuKi-</dc:creator>
  <cp:lastModifiedBy>baixin</cp:lastModifiedBy>
  <cp:lastPrinted>2020-10-22T10:25:00Z</cp:lastPrinted>
  <dcterms:modified xsi:type="dcterms:W3CDTF">2021-09-01T16:50:00Z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BA798B4E372E4ACEAFF10E960BB567FC</vt:lpwstr>
  </property>
</Properties>
</file>