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8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93939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93939"/>
          <w:spacing w:val="0"/>
          <w:sz w:val="44"/>
          <w:szCs w:val="44"/>
          <w:lang w:eastAsia="zh-CN"/>
        </w:rPr>
        <w:t>河津市行政处罚案卷评查情况通报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8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93939"/>
          <w:spacing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为进一步提高执法案卷制作质量，规范行政执法行为，全面推行行政执法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“三项制度”，加强行政执法监督，确保严格规范公正文明执法，促进依法行政，依照《中华人民共和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国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行政处罚法》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《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关于组织开展行政处罚案卷评查活动的通知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》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、《河津市行政处罚案卷评查标准》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等有关规定，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司法局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对市直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12个重点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执法部门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2020年6月1日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至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2021年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日期间，已办结的行政处罚案卷进行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了集中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评查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现将评查的有关情况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通报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一、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为保证评查工作取得实效，切实通过案卷评查规范执法行为、提升办案质量、提高执法水平，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司法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局严格组织，周密部署，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抽调专业律师和各部门法制工作人员参与。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评查活动采取“三步走”的方式开展有序开展，即：执法单位报送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评查范围内行政处罚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案卷目录；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实地阅卷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随机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抽查，逐项评查评分；各执法单位互查，交流学习提升。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此次行政处罚案卷评查共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随机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评查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12个部门行政处罚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案卷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06本，其中：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住房和城乡建设管理局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5本，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应急管理局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本，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文化和旅游局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10本，林业局5本，运城市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生态环境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局河津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分局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本，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农业农村局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7本，交通运输局19本，卫生健康和体育局12本，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市场监督管理局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本，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人力资源和社会保障局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5本，水利局2本，自然资源局9本。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经评查，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文化和旅游局案卷得分为98分，被评为优秀等级；农业农村局、生态环境河津分局、应急管理局、市场监督管理局、卫生健康和体育局、自然资源局、交通运输局、住房和城乡建设管理局案卷得分为80-95分，被评为良好等级；水利局、林业局、人力资源和社会保障局案卷被评为一般等级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对被评为优秀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等级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文化和旅游局予以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通报表扬，希望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发扬成绩，戒骄戒躁，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再接再厉；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后进的单位，希望认真剖析原因，分析问题，积极整改，不断规范执法行为，提升案卷制作水平。此次评查结果将纳入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本年度法治政府建设目标责任考核。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二、主要特点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从评查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整体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情况来看，各行政执法单位能够正确履行法定职责，按照《中华人民共和国行政处罚法》等要求进行行政执法活动，行政处罚案件做到主体适格、事实清楚、证据确凿、程序合法、适用法律正确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“三项制度”落实情况在案卷中也有所体现。主要呈现以下特点：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ascii="楷体_GB2312" w:hAnsi="微软雅黑" w:eastAsia="楷体_GB2312" w:cs="楷体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（一）各行政执法部门对执法工作重视度有所提高</w:t>
      </w: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。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各执法部门根据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案卷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评查通知要求认真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梳理汇总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本部门的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行政处罚</w:t>
      </w:r>
      <w:bookmarkStart w:id="0" w:name="_GoBack"/>
      <w:bookmarkEnd w:id="0"/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案卷，按照要求报送了行政处罚案件目录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、评查联系人及参与评查人员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（二）各行政执法部门执法程序日趋规范。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各行政执法部门能够以《中华人民共和国行政处罚法》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《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山西省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规范行政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执法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裁量权办法》和各部门制定的裁量权基准为标准，实施行政执法行为的实体和程序合法，运用行政裁量权合理，证据充分。各行政执法单位在调查取证时，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大多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能明确告知当事人执法主体、执法人员信息并出示执法证件。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（三）行政处罚案卷制作规范、归档及时。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各行政执法部门能够以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部门文书规范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为标准，行政处罚案卷文书制作比较规范，案件做到一案一卷，目录清晰、装订整齐，案卷比较整洁，并能及时做归档管理。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（四）行政处罚决定的作出更加科学民主。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多数行政执法单位在作出重大行政处罚决定前，认真调查取证，均经过了法制审核和集体讨论。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三、存在的问题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（一）立案阶段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1.案件来源属交办或移交的，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有的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卷中无相关材料记载；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个别案卷存在未在规定期限内立案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3.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部分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案卷中没有立案审批表；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4.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部分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立案审批表中未经经办人、审核机构、行政机关主要负责人签批意见或签字盖章；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5.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个别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立案审批文书中引用法律、法规未具体明确到条、款、项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（二）调查取证阶段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1.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多数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案卷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中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执法人员执法证复印件未附卷；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部分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调查询问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、问话笔录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无起止时间，有的询问笔录谈话和记录过于简单，不能全面反映违法行为和事实；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3.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个别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证据材料不够充分，书证物证少，言词证据多，证据关联性较差，没有起到佐证作用；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4.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个别证据保全、解除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缺少审批文书；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5.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多数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证据材料未注明时间、地点、摄录人姓名和身份；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6.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多数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调查取证时对被处罚人提供的相关证据材料无2名以上执法人员核实、签字；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7.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个别案卷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没有案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件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调查终结报告。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（三）审查决定阶段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1.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个别案卷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无行政处罚审批表；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部分案卷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有审批表但无行政机关负责人或承办人签名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或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意见；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3.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部分案卷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行政处罚决定未经法制机构审核；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4.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部分案卷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行政处罚文书适用法律正确，但引用条、款、项或内容不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完整，个别案卷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引用条、款、项或内容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不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准确；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5.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个别案卷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未按照法定行政处罚幅度和种类作出行政处罚，存在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执行自由裁量基准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不到位等情况；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6.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个别案卷处罚决定书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未告知被处罚人缴纳罚款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的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指定银行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或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相应账号。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（四）执行阶段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1.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多数案卷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送达回证文书填写不规范，内容不完整，未注明受送达人与代收人的关系，未加盖行政机关印章；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个别案卷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行政处罚决定执行不到位且无情况说明；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部分案卷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无结案报告、结案审批表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；个别案卷有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结案报告、结案审批表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但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未见行政机关主要负责人签批结案意见；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4.部分案卷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对责令改正的违法行为的情况未进行复查和记载等。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（五）案卷归档阶段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1.部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分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卷内材料无目录无页号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，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未按执法顺序和案卷目录排列；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部分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案卷内未使用统一的卷宗封面，案卷名称填写不规范；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.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个别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案卷整理装订不符合档案管理要求，没有做到一案一卷，没有卷宗号等。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四、下一步工作打算及整改建议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（一）对标找差，落实整改措施。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各行政执法单位要高度重视，认真对照行政处罚案卷评查标准，积极查找、分析原因，采取有效措施，认真抓好整改落实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，于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10月25日前将整改落实情况书面报回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（二）严格管理，规范案卷归档工作。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行政处罚案卷是行政执法行为的重要载体，它记录行政执法行为的过程、保存行政执法行为的证据，在行政争议中起重要的证明作用。各单位要认真做好行政处罚案卷的立卷和归档工作，纸质案卷做到一案一卷，文书材料要完整，卷宗纸张规格要统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eastAsia" w:ascii="楷体_GB2312" w:hAnsi="微软雅黑" w:eastAsia="楷体_GB2312" w:cs="楷体_GB2312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（三）强化培训，提升执法人员素质。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各单位要切实强化对执法队伍的能力建设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有针对性地加大对行政执法人员的业务和法制培训力度。积极开展业务交流，注重在工作实践中积累执法经验，探索执法技巧，全面提升执法水平。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kern w:val="0"/>
          <w:sz w:val="32"/>
          <w:szCs w:val="32"/>
          <w:lang w:val="en-US" w:eastAsia="zh-CN" w:bidi="ar"/>
        </w:rPr>
        <w:t xml:space="preserve">                     中共河津市委依法治市办公室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93939"/>
          <w:spacing w:val="0"/>
          <w:kern w:val="0"/>
          <w:sz w:val="32"/>
          <w:szCs w:val="32"/>
          <w:lang w:val="en-US" w:eastAsia="zh-CN" w:bidi="ar"/>
        </w:rPr>
        <w:t>2021年10月15日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752BE"/>
    <w:rsid w:val="058D76D6"/>
    <w:rsid w:val="0B1B0625"/>
    <w:rsid w:val="0F1C239E"/>
    <w:rsid w:val="137F6486"/>
    <w:rsid w:val="1C52766A"/>
    <w:rsid w:val="1C9A0F64"/>
    <w:rsid w:val="28C56D56"/>
    <w:rsid w:val="34BF65C7"/>
    <w:rsid w:val="43E85CA8"/>
    <w:rsid w:val="46DA2656"/>
    <w:rsid w:val="49954278"/>
    <w:rsid w:val="4DB752BE"/>
    <w:rsid w:val="51AE0188"/>
    <w:rsid w:val="527658CB"/>
    <w:rsid w:val="5C4F0DAA"/>
    <w:rsid w:val="62A865B1"/>
    <w:rsid w:val="6478192C"/>
    <w:rsid w:val="6C5D787D"/>
    <w:rsid w:val="6E4704D8"/>
    <w:rsid w:val="792D56DA"/>
    <w:rsid w:val="7C1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2021-10-13T02:36:00Z</dcterms:created>
  <dc:creator>Administrator</dc:creator>
  <cp:lastModifiedBy>中国华为</cp:lastModifiedBy>
  <cp:lastPrinted>2021-10-15T00:18:00Z</cp:lastPrinted>
  <dcterms:modified xsi:type="dcterms:W3CDTF">2021-10-18T00:29:18Z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4548937214594B508D04C3C41F249A4E</vt:lpwstr>
  </property>
</Properties>
</file>