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74.2pt;margin-top:313pt;height:74.75pt;width:15.3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17" w:lineRule="auto"/>
                    <w:ind w:left="20"/>
                    <w:rPr>
                      <w:rFonts w:ascii="宋体" w:hAnsi="宋体" w:eastAsia="宋体" w:cs="宋体"/>
                      <w:sz w:val="22"/>
                      <w:szCs w:val="22"/>
                    </w:rPr>
                  </w:pPr>
                  <w:r>
                    <w:rPr>
                      <w:rFonts w:ascii="宋体" w:hAnsi="宋体" w:eastAsia="宋体" w:cs="宋体"/>
                      <w:spacing w:val="22"/>
                      <w:sz w:val="22"/>
                      <w:szCs w:val="22"/>
                    </w:rPr>
                    <w:t>法制审核结果</w:t>
                  </w:r>
                </w:p>
              </w:txbxContent>
            </v:textbox>
          </v:shape>
        </w:pic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43" w:line="219" w:lineRule="auto"/>
        <w:ind w:left="161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下化乡重大行政执法决定法制审核流程图</w:t>
      </w:r>
    </w:p>
    <w:bookmarkEnd w:id="0"/>
    <w:p/>
    <w:p/>
    <w:p/>
    <w:p>
      <w:pPr>
        <w:spacing w:line="181" w:lineRule="exact"/>
      </w:pPr>
    </w:p>
    <w:p>
      <w:pPr>
        <w:sectPr>
          <w:headerReference r:id="rId5" w:type="default"/>
          <w:pgSz w:w="11910" w:h="16840"/>
          <w:pgMar w:top="400" w:right="370" w:bottom="0" w:left="370" w:header="0" w:footer="0" w:gutter="0"/>
          <w:cols w:equalWidth="0" w:num="1">
            <w:col w:w="11170"/>
          </w:cols>
        </w:sectPr>
      </w:pPr>
    </w:p>
    <w:p/>
    <w:p>
      <w:pPr>
        <w:spacing w:line="213" w:lineRule="exact"/>
      </w:pPr>
    </w:p>
    <w:tbl>
      <w:tblPr>
        <w:tblStyle w:val="4"/>
        <w:tblW w:w="3406" w:type="dxa"/>
        <w:tblInd w:w="973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239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009" w:type="dxa"/>
            <w:vAlign w:val="top"/>
          </w:tcPr>
          <w:p>
            <w:pPr>
              <w:spacing w:line="381" w:lineRule="exact"/>
              <w:rPr>
                <w:rFonts w:ascii="仿宋" w:hAnsi="仿宋" w:eastAsia="仿宋" w:cs="仿宋"/>
                <w:b w:val="0"/>
                <w:bCs w:val="0"/>
                <w:sz w:val="27"/>
                <w:szCs w:val="27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position w:val="7"/>
                <w:sz w:val="27"/>
                <w:szCs w:val="27"/>
              </w:rPr>
              <w:t>案件</w:t>
            </w:r>
          </w:p>
          <w:p>
            <w:pPr>
              <w:spacing w:line="230" w:lineRule="auto"/>
              <w:rPr>
                <w:rFonts w:ascii="仿宋" w:hAnsi="仿宋" w:eastAsia="仿宋" w:cs="仿宋"/>
                <w:b w:val="0"/>
                <w:bCs w:val="0"/>
                <w:sz w:val="27"/>
                <w:szCs w:val="27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sz w:val="27"/>
                <w:szCs w:val="27"/>
              </w:rPr>
              <w:t>承办</w:t>
            </w:r>
          </w:p>
          <w:p>
            <w:pPr>
              <w:spacing w:before="40" w:line="196" w:lineRule="auto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sz w:val="27"/>
                <w:szCs w:val="27"/>
              </w:rPr>
              <w:t>机构</w:t>
            </w:r>
          </w:p>
        </w:tc>
        <w:tc>
          <w:tcPr>
            <w:tcW w:w="2397" w:type="dxa"/>
            <w:vAlign w:val="top"/>
          </w:tcPr>
          <w:p>
            <w:pPr>
              <w:spacing w:before="157" w:line="219" w:lineRule="auto"/>
              <w:ind w:left="467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ascii="仿宋" w:hAnsi="仿宋" w:eastAsia="仿宋" w:cs="仿宋"/>
                <w:spacing w:val="-6"/>
                <w:sz w:val="16"/>
                <w:szCs w:val="16"/>
              </w:rPr>
              <w:t>在作出行政执法决定前，</w:t>
            </w:r>
          </w:p>
          <w:p>
            <w:pPr>
              <w:spacing w:before="31" w:line="252" w:lineRule="auto"/>
              <w:ind w:left="467"/>
              <w:rPr>
                <w:rFonts w:ascii="仿宋" w:hAnsi="仿宋" w:eastAsia="仿宋" w:cs="仿宋"/>
                <w:sz w:val="15"/>
                <w:szCs w:val="15"/>
              </w:rPr>
            </w:pPr>
            <w:r>
              <w:rPr>
                <w:rFonts w:ascii="仿宋" w:hAnsi="仿宋" w:eastAsia="仿宋" w:cs="仿宋"/>
                <w:spacing w:val="10"/>
                <w:sz w:val="15"/>
                <w:szCs w:val="15"/>
              </w:rPr>
              <w:t>根据《下化乡重大行政执法</w:t>
            </w:r>
            <w:r>
              <w:rPr>
                <w:rFonts w:ascii="仿宋" w:hAnsi="仿宋" w:eastAsia="仿宋" w:cs="仿宋"/>
                <w:spacing w:val="8"/>
                <w:sz w:val="15"/>
                <w:szCs w:val="15"/>
              </w:rPr>
              <w:t xml:space="preserve"> 决定法制审核清单》内容</w:t>
            </w:r>
          </w:p>
        </w:tc>
      </w:tr>
    </w:tbl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81" w:line="221" w:lineRule="auto"/>
        <w:ind w:left="419" w:right="778" w:firstLine="15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21"/>
          <w:sz w:val="25"/>
          <w:szCs w:val="25"/>
        </w:rPr>
        <w:t>(一)对拟作出的重大行政</w:t>
      </w:r>
      <w:r>
        <w:rPr>
          <w:rFonts w:ascii="宋体" w:hAnsi="宋体" w:eastAsia="宋体" w:cs="宋体"/>
          <w:spacing w:val="7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4"/>
          <w:sz w:val="25"/>
          <w:szCs w:val="25"/>
        </w:rPr>
        <w:t>执法决定主体合法、事实清</w:t>
      </w:r>
      <w:r>
        <w:rPr>
          <w:rFonts w:ascii="宋体" w:hAnsi="宋体" w:eastAsia="宋体" w:cs="宋体"/>
          <w:spacing w:val="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25"/>
          <w:sz w:val="25"/>
          <w:szCs w:val="25"/>
        </w:rPr>
        <w:t>楚、证据合法充分、依据准确、</w:t>
      </w:r>
      <w:r>
        <w:rPr>
          <w:rFonts w:ascii="宋体" w:hAnsi="宋体" w:eastAsia="宋体" w:cs="宋体"/>
          <w:spacing w:val="4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7"/>
          <w:sz w:val="25"/>
          <w:szCs w:val="25"/>
        </w:rPr>
        <w:t>裁量适当、执法程序合法、执</w:t>
      </w:r>
      <w:r>
        <w:rPr>
          <w:rFonts w:ascii="宋体" w:hAnsi="宋体" w:eastAsia="宋体" w:cs="宋体"/>
          <w:spacing w:val="10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6"/>
          <w:sz w:val="25"/>
          <w:szCs w:val="25"/>
        </w:rPr>
        <w:t>法文书完备、规范的，提出同</w:t>
      </w:r>
      <w:r>
        <w:rPr>
          <w:rFonts w:ascii="宋体" w:hAnsi="宋体" w:eastAsia="宋体" w:cs="宋体"/>
          <w:spacing w:val="9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22"/>
          <w:sz w:val="25"/>
          <w:szCs w:val="25"/>
        </w:rPr>
        <w:t>意的意见；</w:t>
      </w:r>
    </w:p>
    <w:p>
      <w:pPr>
        <w:spacing w:before="4" w:line="221" w:lineRule="auto"/>
        <w:ind w:left="419" w:right="851" w:firstLine="15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5"/>
          <w:sz w:val="25"/>
          <w:szCs w:val="25"/>
        </w:rPr>
        <w:t>(二)对拟作出的重大行政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2"/>
          <w:sz w:val="25"/>
          <w:szCs w:val="25"/>
        </w:rPr>
        <w:t>执法决定事实认定不清、证据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2"/>
          <w:sz w:val="25"/>
          <w:szCs w:val="25"/>
        </w:rPr>
        <w:t>和执法程序有瑕疵、执法文书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1"/>
          <w:sz w:val="25"/>
          <w:szCs w:val="25"/>
        </w:rPr>
        <w:t>不规范、裁量不适当的，提出</w:t>
      </w:r>
      <w:r>
        <w:rPr>
          <w:rFonts w:ascii="宋体" w:hAnsi="宋体" w:eastAsia="宋体" w:cs="宋体"/>
          <w:spacing w:val="1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22"/>
          <w:sz w:val="25"/>
          <w:szCs w:val="25"/>
        </w:rPr>
        <w:t>纠正的意见；</w:t>
      </w:r>
    </w:p>
    <w:p>
      <w:pPr>
        <w:spacing w:before="3" w:line="221" w:lineRule="auto"/>
        <w:ind w:left="419" w:right="866" w:firstLine="15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5"/>
          <w:sz w:val="25"/>
          <w:szCs w:val="25"/>
        </w:rPr>
        <w:t>(三)对拟作出的重大行政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3"/>
          <w:sz w:val="25"/>
          <w:szCs w:val="25"/>
        </w:rPr>
        <w:t>执法决定存在主体不合法、主</w:t>
      </w:r>
      <w:r>
        <w:rPr>
          <w:rFonts w:ascii="宋体" w:hAnsi="宋体" w:eastAsia="宋体" w:cs="宋体"/>
          <w:spacing w:val="11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4"/>
          <w:sz w:val="25"/>
          <w:szCs w:val="25"/>
        </w:rPr>
        <w:t>要证据不合法、依据不准确、</w:t>
      </w:r>
      <w:r>
        <w:rPr>
          <w:rFonts w:ascii="宋体" w:hAnsi="宋体" w:eastAsia="宋体" w:cs="宋体"/>
          <w:spacing w:val="5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2"/>
          <w:sz w:val="25"/>
          <w:szCs w:val="25"/>
        </w:rPr>
        <w:t>执法程序不合法的，提出不予</w:t>
      </w:r>
      <w:r>
        <w:rPr>
          <w:rFonts w:ascii="宋体" w:hAnsi="宋体" w:eastAsia="宋体" w:cs="宋体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15"/>
          <w:sz w:val="25"/>
          <w:szCs w:val="25"/>
        </w:rPr>
        <w:t>作出行政执法决定的意见；</w:t>
      </w:r>
    </w:p>
    <w:p>
      <w:pPr>
        <w:spacing w:before="4" w:line="221" w:lineRule="auto"/>
        <w:ind w:left="57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3"/>
          <w:sz w:val="25"/>
          <w:szCs w:val="25"/>
        </w:rPr>
        <w:t>(四)对违法行为涉嫌犯罪</w:t>
      </w:r>
    </w:p>
    <w:p>
      <w:pPr>
        <w:spacing w:line="219" w:lineRule="auto"/>
        <w:ind w:left="419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3"/>
          <w:sz w:val="25"/>
          <w:szCs w:val="25"/>
        </w:rPr>
        <w:t>的，提出移送意见。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tbl>
      <w:tblPr>
        <w:tblStyle w:val="4"/>
        <w:tblW w:w="6088" w:type="dxa"/>
        <w:tblInd w:w="13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7"/>
        <w:gridCol w:w="368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7" w:hRule="atLeast"/>
        </w:trPr>
        <w:tc>
          <w:tcPr>
            <w:tcW w:w="2407" w:type="dxa"/>
            <w:vAlign w:val="top"/>
          </w:tcPr>
          <w:p>
            <w:pPr>
              <w:spacing w:before="1" w:line="239" w:lineRule="auto"/>
              <w:ind w:right="376" w:firstLine="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>(一)重大行政执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法决定建议及情况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说明；</w:t>
            </w:r>
          </w:p>
          <w:p>
            <w:pPr>
              <w:spacing w:before="93"/>
              <w:ind w:right="332" w:firstLine="1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(二)重大行政执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法决定调查(审查)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终结报告；</w:t>
            </w:r>
          </w:p>
          <w:p>
            <w:pPr>
              <w:spacing w:before="45" w:line="235" w:lineRule="auto"/>
              <w:ind w:right="396" w:firstLine="1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(三)重大行政执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法决定书代拟稿；</w:t>
            </w:r>
          </w:p>
          <w:p>
            <w:pPr>
              <w:spacing w:before="46"/>
              <w:ind w:right="392" w:firstLine="1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(四)重大行政执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法决定相关法律依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5"/>
                <w:szCs w:val="25"/>
              </w:rPr>
              <w:t>据和证据资料；</w:t>
            </w:r>
          </w:p>
          <w:p>
            <w:pPr>
              <w:spacing w:before="45" w:line="242" w:lineRule="auto"/>
              <w:ind w:right="390" w:firstLine="1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(五)经听证或评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估的，应当提交听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5"/>
                <w:szCs w:val="25"/>
              </w:rPr>
              <w:t>证笔录或评估报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5"/>
                <w:szCs w:val="25"/>
              </w:rPr>
              <w:t>告；</w:t>
            </w:r>
          </w:p>
          <w:p>
            <w:pPr>
              <w:spacing w:before="48" w:line="234" w:lineRule="auto"/>
              <w:ind w:right="396" w:firstLine="1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(六)其他需要提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5"/>
                <w:szCs w:val="25"/>
              </w:rPr>
              <w:t>交的材料。</w:t>
            </w:r>
          </w:p>
        </w:tc>
        <w:tc>
          <w:tcPr>
            <w:tcW w:w="3681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>
              <w:pict>
                <v:shape id="_x0000_s1027" o:spid="_x0000_s1027" o:spt="202" type="#_x0000_t202" style="position:absolute;left:0pt;margin-left:137.15pt;margin-top:142.35pt;height:51.05pt;width:15.3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17" w:lineRule="auto"/>
                          <w:ind w:left="20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5"/>
                            <w:sz w:val="22"/>
                            <w:szCs w:val="22"/>
                          </w:rPr>
                          <w:t>审核重点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2666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pict>
                <v:shape id="_x0000_s1028" o:spid="_x0000_s1028" o:spt="202" type="#_x0000_t202" style="position:absolute;left:0pt;margin-left:15.6pt;margin-top:-4.05pt;height:16.9pt;width:67.1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0" w:lineRule="auto"/>
                          <w:ind w:left="20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4"/>
                            <w:w w:val="96"/>
                            <w:sz w:val="25"/>
                            <w:szCs w:val="25"/>
                          </w:rPr>
                          <w:t>提交法制审核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b w:val="0"/>
                <w:bCs w:val="0"/>
                <w:color w:val="0A0052"/>
                <w:spacing w:val="-10"/>
                <w:sz w:val="28"/>
                <w:szCs w:val="28"/>
              </w:rPr>
              <w:t>法制</w:t>
            </w:r>
          </w:p>
          <w:p>
            <w:pPr>
              <w:spacing w:before="94" w:line="461" w:lineRule="exact"/>
              <w:ind w:left="2666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14"/>
                <w:position w:val="13"/>
                <w:sz w:val="28"/>
                <w:szCs w:val="28"/>
              </w:rPr>
              <w:t>审核</w:t>
            </w:r>
          </w:p>
          <w:p>
            <w:pPr>
              <w:spacing w:line="222" w:lineRule="auto"/>
              <w:ind w:left="2666"/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8"/>
                <w:sz w:val="28"/>
                <w:szCs w:val="28"/>
              </w:rPr>
              <w:t>机构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30" w:lineRule="auto"/>
              <w:ind w:left="912"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(一)行政执法主体是否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合法，行政执法人员是否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具备执法资格；</w:t>
            </w:r>
          </w:p>
          <w:p>
            <w:pPr>
              <w:spacing w:before="3" w:line="222" w:lineRule="auto"/>
              <w:ind w:left="912" w:right="57" w:firstLine="1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>(二)执法程序是否合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法；</w:t>
            </w:r>
          </w:p>
          <w:p>
            <w:pPr>
              <w:spacing w:before="1" w:line="220" w:lineRule="auto"/>
              <w:ind w:left="912" w:right="35" w:firstLine="1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9"/>
                <w:sz w:val="25"/>
                <w:szCs w:val="25"/>
              </w:rPr>
              <w:t>(三)案件事实是否清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5"/>
                <w:szCs w:val="25"/>
              </w:rPr>
              <w:t>楚，证据是否合法充分；</w:t>
            </w:r>
          </w:p>
          <w:p>
            <w:pPr>
              <w:spacing w:before="3" w:line="211" w:lineRule="auto"/>
              <w:ind w:left="912" w:right="28"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(四)适用法律、法规、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规章是否准确，裁量基准</w:t>
            </w:r>
          </w:p>
        </w:tc>
      </w:tr>
    </w:tbl>
    <w:p>
      <w:pPr>
        <w:spacing w:line="51" w:lineRule="exact"/>
      </w:pPr>
    </w:p>
    <w:tbl>
      <w:tblPr>
        <w:tblStyle w:val="4"/>
        <w:tblW w:w="6252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6"/>
        <w:gridCol w:w="309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3156" w:type="dxa"/>
            <w:vAlign w:val="top"/>
          </w:tcPr>
          <w:p>
            <w:pPr>
              <w:spacing w:before="307" w:line="236" w:lineRule="auto"/>
              <w:ind w:right="293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案情复杂的，经行政执法机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关负责人批准，可延长10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5"/>
                <w:szCs w:val="25"/>
              </w:rPr>
              <w:t>个工作日。</w:t>
            </w:r>
          </w:p>
        </w:tc>
        <w:tc>
          <w:tcPr>
            <w:tcW w:w="3096" w:type="dxa"/>
            <w:vAlign w:val="top"/>
          </w:tcPr>
          <w:p>
            <w:pPr>
              <w:spacing w:line="220" w:lineRule="auto"/>
              <w:ind w:left="2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2"/>
                <w:sz w:val="25"/>
                <w:szCs w:val="25"/>
              </w:rPr>
              <w:t>运用是否适当；</w:t>
            </w:r>
          </w:p>
          <w:p>
            <w:pPr>
              <w:spacing w:line="220" w:lineRule="auto"/>
              <w:ind w:left="293" w:right="41" w:firstLine="1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(五)执法是否超越行政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5"/>
                <w:szCs w:val="25"/>
              </w:rPr>
              <w:t>执法机关法定权限。</w:t>
            </w:r>
          </w:p>
          <w:p>
            <w:pPr>
              <w:spacing w:before="3" w:line="231" w:lineRule="auto"/>
              <w:ind w:left="293"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>(六)执法文书是否完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备、规范；</w:t>
            </w:r>
          </w:p>
          <w:p>
            <w:pPr>
              <w:spacing w:before="3" w:line="219" w:lineRule="auto"/>
              <w:ind w:left="293" w:right="66" w:firstLine="1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(七)违法行为是否涉嫌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5"/>
                <w:szCs w:val="25"/>
              </w:rPr>
              <w:t>犯罪、需要移送司法机关；</w:t>
            </w:r>
          </w:p>
          <w:p>
            <w:pPr>
              <w:spacing w:before="5" w:line="211" w:lineRule="auto"/>
              <w:ind w:left="293" w:right="17" w:firstLine="1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(八)其他应当审核的内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容。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10" w:h="16840"/>
      <w:pgMar w:top="400" w:right="370" w:bottom="0" w:left="370" w:header="0" w:footer="0" w:gutter="0"/>
      <w:cols w:equalWidth="0" w:num="2">
        <w:col w:w="4381" w:space="99"/>
        <w:col w:w="66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234950</wp:posOffset>
          </wp:positionH>
          <wp:positionV relativeFrom="page">
            <wp:posOffset>2101850</wp:posOffset>
          </wp:positionV>
          <wp:extent cx="7092950" cy="720090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2894" cy="7200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3OTY0MmMxODlmMDRlNzJiNWZhNDhmYWZlMDExMjYifQ=="/>
  </w:docVars>
  <w:rsids>
    <w:rsidRoot w:val="00000000"/>
    <w:rsid w:val="10A66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582</Words>
  <Characters>583</Characters>
  <TotalTime>0</TotalTime>
  <ScaleCrop>false</ScaleCrop>
  <LinksUpToDate>false</LinksUpToDate>
  <CharactersWithSpaces>619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2023-10-10T18:32:00Z</dcterms:created>
  <dc:creator>Kingsoft-PDF</dc:creator>
  <cp:lastModifiedBy>怡兴广告</cp:lastModifiedBy>
  <dcterms:modified xsi:type="dcterms:W3CDTF">2023-10-10T10:33:12Z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2023-10-10T18:32:15Z</vt:filetime>
  </property>
  <property fmtid="{D5CDD505-2E9C-101B-9397-08002B2CF9AE}" pid="4" name="UsrData">
    <vt:lpwstr>6525282d42ae72001fe74bf2wl</vt:lpwstr>
  </property>
  <property fmtid="{D5CDD505-2E9C-101B-9397-08002B2CF9AE}" pid="5" name="KSOProductBuildVer">
    <vt:lpwstr>2052-12.1.0.15712</vt:lpwstr>
  </property>
  <property fmtid="{D5CDD505-2E9C-101B-9397-08002B2CF9AE}" pid="6" name="ICV">
    <vt:lpwstr>A2C9A5DBA4684D55A1889C9717D4EAAE_13</vt:lpwstr>
  </property>
</Properties>
</file>