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3B29C0">
      <w:pPr>
        <w:spacing w:line="800" w:lineRule="exact"/>
        <w:jc w:val="center"/>
        <w:rPr>
          <w:rFonts w:ascii="黑体" w:hAnsi="黑体" w:eastAsia="黑体" w:cs="黑体"/>
          <w:b w:val="0"/>
          <w:bCs w:val="0"/>
          <w:sz w:val="44"/>
          <w:szCs w:val="44"/>
        </w:rPr>
      </w:pPr>
      <w:bookmarkStart w:id="0" w:name="_Hlk132122821"/>
      <w:bookmarkStart w:id="1" w:name="_Hlk132227653"/>
      <w:r>
        <w:rPr>
          <w:rFonts w:hint="eastAsia" w:ascii="黑体" w:hAnsi="黑体" w:eastAsia="黑体" w:cs="黑体"/>
          <w:b w:val="0"/>
          <w:bCs w:val="0"/>
          <w:sz w:val="44"/>
          <w:szCs w:val="44"/>
        </w:rPr>
        <w:t>河津清涧山西阳光焦化集团股份有限公司</w:t>
      </w:r>
    </w:p>
    <w:p w14:paraId="5BB3D85B">
      <w:pPr>
        <w:spacing w:line="800" w:lineRule="exact"/>
        <w:jc w:val="center"/>
        <w:rPr>
          <w:rFonts w:ascii="方正小标宋简体" w:hAnsi="CESI仿宋-GB2312" w:eastAsia="方正小标宋简体" w:cs="CESI仿宋-GB2312"/>
          <w:b w:val="0"/>
          <w:bCs w:val="0"/>
          <w:sz w:val="44"/>
          <w:szCs w:val="44"/>
        </w:rPr>
      </w:pPr>
      <w:bookmarkStart w:id="2" w:name="_Toc24365"/>
      <w:bookmarkStart w:id="3" w:name="_Toc8668"/>
      <w:bookmarkStart w:id="4" w:name="_Toc26961"/>
      <w:r>
        <w:rPr>
          <w:rFonts w:hint="eastAsia" w:ascii="黑体" w:hAnsi="黑体" w:eastAsia="黑体" w:cs="黑体"/>
          <w:b w:val="0"/>
          <w:bCs w:val="0"/>
          <w:sz w:val="44"/>
          <w:szCs w:val="44"/>
        </w:rPr>
        <w:t>“8·8”一般中毒和窒息事故</w:t>
      </w:r>
      <w:bookmarkEnd w:id="0"/>
      <w:bookmarkEnd w:id="2"/>
      <w:bookmarkEnd w:id="3"/>
      <w:bookmarkEnd w:id="4"/>
      <w:r>
        <w:rPr>
          <w:rFonts w:hint="eastAsia" w:ascii="黑体" w:hAnsi="黑体" w:eastAsia="黑体" w:cs="黑体"/>
          <w:b w:val="0"/>
          <w:bCs w:val="0"/>
          <w:sz w:val="44"/>
          <w:szCs w:val="44"/>
        </w:rPr>
        <w:t>调查报告</w:t>
      </w:r>
    </w:p>
    <w:bookmarkEnd w:id="1"/>
    <w:p w14:paraId="2B1E6D34">
      <w:pPr>
        <w:spacing w:line="560" w:lineRule="exact"/>
        <w:ind w:firstLine="640" w:firstLineChars="200"/>
        <w:rPr>
          <w:rFonts w:eastAsia="仿宋_GB2312"/>
          <w:sz w:val="32"/>
          <w:szCs w:val="32"/>
        </w:rPr>
      </w:pPr>
      <w:bookmarkStart w:id="5" w:name="_Hlk136071596"/>
      <w:bookmarkStart w:id="6" w:name="_Toc160611363"/>
      <w:bookmarkStart w:id="7" w:name="_Toc15940"/>
      <w:r>
        <w:rPr>
          <w:rFonts w:eastAsia="仿宋_GB2312"/>
          <w:sz w:val="32"/>
          <w:szCs w:val="32"/>
        </w:rPr>
        <w:t>202</w:t>
      </w:r>
      <w:r>
        <w:rPr>
          <w:rFonts w:hint="eastAsia" w:eastAsia="仿宋_GB2312"/>
          <w:sz w:val="32"/>
          <w:szCs w:val="32"/>
        </w:rPr>
        <w:t>4</w:t>
      </w:r>
      <w:r>
        <w:rPr>
          <w:rFonts w:eastAsia="仿宋_GB2312"/>
          <w:sz w:val="32"/>
          <w:szCs w:val="32"/>
        </w:rPr>
        <w:t>年</w:t>
      </w:r>
      <w:r>
        <w:rPr>
          <w:rFonts w:hint="eastAsia" w:eastAsia="仿宋_GB2312"/>
          <w:sz w:val="32"/>
          <w:szCs w:val="32"/>
        </w:rPr>
        <w:t>8</w:t>
      </w:r>
      <w:r>
        <w:rPr>
          <w:rFonts w:eastAsia="仿宋_GB2312"/>
          <w:sz w:val="32"/>
          <w:szCs w:val="32"/>
        </w:rPr>
        <w:t>月8日</w:t>
      </w:r>
      <w:r>
        <w:rPr>
          <w:rFonts w:hint="eastAsia" w:eastAsia="仿宋_GB2312"/>
          <w:sz w:val="32"/>
          <w:szCs w:val="32"/>
        </w:rPr>
        <w:t>17</w:t>
      </w:r>
      <w:r>
        <w:rPr>
          <w:rFonts w:eastAsia="仿宋_GB2312"/>
          <w:sz w:val="32"/>
          <w:szCs w:val="32"/>
        </w:rPr>
        <w:t>时20分许，</w:t>
      </w:r>
      <w:bookmarkStart w:id="8" w:name="_Hlk153436752"/>
      <w:bookmarkStart w:id="9" w:name="_Hlk153437342"/>
      <w:r>
        <w:rPr>
          <w:rFonts w:eastAsia="仿宋_GB2312"/>
          <w:sz w:val="32"/>
          <w:szCs w:val="32"/>
        </w:rPr>
        <w:t>山西</w:t>
      </w:r>
      <w:bookmarkEnd w:id="8"/>
      <w:r>
        <w:rPr>
          <w:rFonts w:hint="eastAsia" w:eastAsia="仿宋_GB2312"/>
          <w:sz w:val="32"/>
          <w:szCs w:val="32"/>
        </w:rPr>
        <w:t>阳光焦化集团股份有限公司阳光焦化厂化产装置区脱硫工段在对2</w:t>
      </w:r>
      <w:r>
        <w:rPr>
          <w:rFonts w:hint="eastAsia" w:eastAsia="仿宋_GB2312"/>
          <w:sz w:val="32"/>
          <w:szCs w:val="32"/>
          <w:vertAlign w:val="superscript"/>
        </w:rPr>
        <w:t>#</w:t>
      </w:r>
      <w:r>
        <w:rPr>
          <w:rFonts w:hint="eastAsia" w:eastAsia="仿宋_GB2312"/>
          <w:sz w:val="32"/>
          <w:szCs w:val="32"/>
        </w:rPr>
        <w:t>硫泡沫槽搅拌机电机润滑保养时，发生一起一般中毒和窒息事故，导致1人死亡，直接经济损失约</w:t>
      </w:r>
      <w:bookmarkEnd w:id="9"/>
      <w:r>
        <w:rPr>
          <w:rFonts w:eastAsia="仿宋_GB2312"/>
          <w:sz w:val="32"/>
          <w:szCs w:val="32"/>
        </w:rPr>
        <w:t>150万元。</w:t>
      </w:r>
    </w:p>
    <w:bookmarkEnd w:id="5"/>
    <w:p w14:paraId="4B1219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河津市委、市政府领导高度重视，要求迅速查明事故原因，认真做好善后工作，严肃追究相关人员责任，深刻汲取事故教训，采取得力措施确保全市安全生产稳定。依据《中华人民共和国安全生产法》（</w:t>
      </w:r>
      <w:r>
        <w:rPr>
          <w:rFonts w:hint="eastAsia" w:ascii="仿宋_GB2312" w:hAnsi="仿宋_GB2312" w:eastAsia="仿宋_GB2312" w:cs="仿宋_GB2312"/>
          <w:sz w:val="32"/>
          <w:szCs w:val="32"/>
          <w:lang w:val="en"/>
        </w:rPr>
        <w:t>国家</w:t>
      </w:r>
      <w:r>
        <w:rPr>
          <w:rFonts w:hint="eastAsia" w:ascii="仿宋_GB2312" w:hAnsi="仿宋_GB2312" w:eastAsia="仿宋_GB2312" w:cs="仿宋_GB2312"/>
          <w:sz w:val="32"/>
          <w:szCs w:val="32"/>
        </w:rPr>
        <w:t>主席令第88号）《生产安全事故应急条例》（国务院令第708号）《生产安全事故报告和调查处理条例》（国务院令第493号）等有关法律法规，河津市人民政府</w:t>
      </w:r>
      <w:r>
        <w:rPr>
          <w:rFonts w:eastAsia="仿宋_GB2312"/>
          <w:sz w:val="32"/>
          <w:szCs w:val="32"/>
        </w:rPr>
        <w:t>于202</w:t>
      </w:r>
      <w:r>
        <w:rPr>
          <w:rFonts w:hint="eastAsia" w:eastAsia="仿宋_GB2312"/>
          <w:sz w:val="32"/>
          <w:szCs w:val="32"/>
        </w:rPr>
        <w:t>4</w:t>
      </w:r>
      <w:r>
        <w:rPr>
          <w:rFonts w:eastAsia="仿宋_GB2312"/>
          <w:sz w:val="32"/>
          <w:szCs w:val="32"/>
        </w:rPr>
        <w:t>年</w:t>
      </w:r>
      <w:r>
        <w:rPr>
          <w:rFonts w:hint="eastAsia" w:eastAsia="仿宋_GB2312"/>
          <w:sz w:val="32"/>
          <w:szCs w:val="32"/>
        </w:rPr>
        <w:t>8</w:t>
      </w:r>
      <w:r>
        <w:rPr>
          <w:rFonts w:eastAsia="仿宋_GB2312"/>
          <w:sz w:val="32"/>
          <w:szCs w:val="32"/>
        </w:rPr>
        <w:t>月1</w:t>
      </w:r>
      <w:r>
        <w:rPr>
          <w:rFonts w:hint="eastAsia" w:eastAsia="仿宋_GB2312"/>
          <w:sz w:val="32"/>
          <w:szCs w:val="32"/>
        </w:rPr>
        <w:t>2</w:t>
      </w:r>
      <w:r>
        <w:rPr>
          <w:rFonts w:eastAsia="仿宋_GB2312"/>
          <w:sz w:val="32"/>
          <w:szCs w:val="32"/>
        </w:rPr>
        <w:t>日成立了由河津市应急管理局牵头，市纪委、市公安局、</w:t>
      </w:r>
      <w:r>
        <w:rPr>
          <w:rFonts w:hint="eastAsia" w:eastAsia="仿宋_GB2312"/>
          <w:sz w:val="32"/>
          <w:szCs w:val="32"/>
          <w:lang w:val="en-US" w:eastAsia="zh-CN"/>
        </w:rPr>
        <w:t>市检察院、</w:t>
      </w:r>
      <w:r>
        <w:rPr>
          <w:rFonts w:eastAsia="仿宋_GB2312"/>
          <w:sz w:val="32"/>
          <w:szCs w:val="32"/>
        </w:rPr>
        <w:t>市总工会、开发区执法局、清涧街道办事处等部门组成的</w:t>
      </w:r>
      <w:r>
        <w:rPr>
          <w:rFonts w:hint="eastAsia" w:ascii="仿宋_GB2312" w:hAnsi="仿宋_GB2312" w:eastAsia="仿宋_GB2312" w:cs="仿宋_GB2312"/>
          <w:sz w:val="32"/>
          <w:szCs w:val="32"/>
        </w:rPr>
        <w:t>“8˙8”</w:t>
      </w:r>
      <w:r>
        <w:rPr>
          <w:rFonts w:eastAsia="仿宋_GB2312"/>
          <w:sz w:val="32"/>
          <w:szCs w:val="32"/>
        </w:rPr>
        <w:t>事故调查组</w:t>
      </w:r>
      <w:r>
        <w:rPr>
          <w:rFonts w:hint="eastAsia" w:ascii="仿宋_GB2312" w:hAnsi="仿宋_GB2312" w:eastAsia="仿宋_GB2312" w:cs="仿宋_GB2312"/>
          <w:sz w:val="32"/>
          <w:szCs w:val="32"/>
        </w:rPr>
        <w:t>。事故调查组坚持“科学严谨、依法依规、实事求是、注重实效”的原则和“四不放过”要求，通过现场勘察、调查取证、专家论证、查阅资料、询问当事人等，查明了事故经过、原因、人员伤亡和直接经济损失，认定了事故性质和责任，提出了对事故责任者和事故单位的处理建议，分析了事故暴露出来的突出问题和教训，并对事故防范及整改工作提出了建议措施。</w:t>
      </w:r>
    </w:p>
    <w:p w14:paraId="2B918974">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经调查认定，本次事故是一起因设备腐蚀严重、维护保养作业人员作业前风险辨识与安全隐患排查不到位引起</w:t>
      </w:r>
      <w:r>
        <w:rPr>
          <w:rFonts w:ascii="仿宋_GB2312" w:hAnsi="仿宋_GB2312" w:eastAsia="仿宋_GB2312" w:cs="仿宋_GB2312"/>
          <w:sz w:val="32"/>
          <w:szCs w:val="32"/>
        </w:rPr>
        <w:t>的一般生产安全责任事故。</w:t>
      </w:r>
    </w:p>
    <w:p w14:paraId="3600BCDA">
      <w:pPr>
        <w:pStyle w:val="3"/>
        <w:autoSpaceDE w:val="0"/>
        <w:autoSpaceDN w:val="0"/>
        <w:spacing w:line="560" w:lineRule="exact"/>
        <w:ind w:left="0" w:firstLine="640" w:firstLineChars="200"/>
        <w:jc w:val="left"/>
        <w:rPr>
          <w:rFonts w:ascii="黑体" w:hAnsi="黑体" w:eastAsia="黑体"/>
          <w:b w:val="0"/>
          <w:bCs w:val="0"/>
          <w:color w:val="000000" w:themeColor="text1"/>
          <w:lang w:val="zh-CN" w:bidi="zh-CN"/>
          <w14:textFill>
            <w14:solidFill>
              <w14:schemeClr w14:val="tx1"/>
            </w14:solidFill>
          </w14:textFill>
        </w:rPr>
      </w:pPr>
      <w:bookmarkStart w:id="10" w:name="_Toc29768"/>
      <w:r>
        <w:rPr>
          <w:rFonts w:hint="eastAsia" w:ascii="黑体" w:hAnsi="黑体" w:eastAsia="黑体"/>
          <w:b w:val="0"/>
          <w:bCs w:val="0"/>
          <w:color w:val="000000" w:themeColor="text1"/>
          <w:lang w:bidi="zh-CN"/>
          <w14:textFill>
            <w14:solidFill>
              <w14:schemeClr w14:val="tx1"/>
            </w14:solidFill>
          </w14:textFill>
        </w:rPr>
        <w:t>一、</w:t>
      </w:r>
      <w:r>
        <w:rPr>
          <w:rFonts w:hint="eastAsia" w:ascii="黑体" w:hAnsi="黑体" w:eastAsia="黑体"/>
          <w:b w:val="0"/>
          <w:bCs w:val="0"/>
          <w:color w:val="000000" w:themeColor="text1"/>
          <w:lang w:val="zh-CN" w:bidi="zh-CN"/>
          <w14:textFill>
            <w14:solidFill>
              <w14:schemeClr w14:val="tx1"/>
            </w14:solidFill>
          </w14:textFill>
        </w:rPr>
        <w:t>事故基本情况</w:t>
      </w:r>
      <w:bookmarkEnd w:id="6"/>
      <w:bookmarkEnd w:id="7"/>
      <w:bookmarkEnd w:id="10"/>
    </w:p>
    <w:p w14:paraId="476329B8">
      <w:pPr>
        <w:pStyle w:val="4"/>
        <w:spacing w:before="0" w:beforeAutospacing="0" w:after="0" w:afterAutospacing="0" w:line="560" w:lineRule="exact"/>
        <w:ind w:firstLine="640" w:firstLineChars="200"/>
        <w:rPr>
          <w:rFonts w:hint="default" w:ascii="Times New Roman" w:hAnsi="Times New Roman" w:eastAsia="楷体_GB2312"/>
          <w:b w:val="0"/>
          <w:bCs w:val="0"/>
          <w:sz w:val="32"/>
          <w:szCs w:val="32"/>
        </w:rPr>
      </w:pPr>
      <w:bookmarkStart w:id="11" w:name="_Toc152250767"/>
      <w:bookmarkStart w:id="12" w:name="_Toc12027"/>
      <w:bookmarkStart w:id="13" w:name="_Toc160611364"/>
      <w:bookmarkStart w:id="14" w:name="_Toc32519"/>
      <w:bookmarkStart w:id="15" w:name="_Toc125798109"/>
      <w:bookmarkStart w:id="16" w:name="_Toc125798034"/>
      <w:bookmarkStart w:id="17" w:name="_Toc125797721"/>
      <w:r>
        <w:rPr>
          <w:rFonts w:hint="default" w:ascii="Times New Roman" w:hAnsi="Times New Roman" w:eastAsia="楷体_GB2312"/>
          <w:b w:val="0"/>
          <w:bCs w:val="0"/>
          <w:sz w:val="32"/>
          <w:szCs w:val="32"/>
        </w:rPr>
        <w:t>（一）</w:t>
      </w:r>
      <w:bookmarkEnd w:id="11"/>
      <w:r>
        <w:rPr>
          <w:rFonts w:ascii="Times New Roman" w:hAnsi="Times New Roman" w:eastAsia="楷体_GB2312"/>
          <w:b w:val="0"/>
          <w:bCs w:val="0"/>
          <w:sz w:val="32"/>
          <w:szCs w:val="32"/>
        </w:rPr>
        <w:t>事故发生单位概况</w:t>
      </w:r>
      <w:bookmarkEnd w:id="12"/>
      <w:bookmarkEnd w:id="13"/>
    </w:p>
    <w:p w14:paraId="4ECCC37E">
      <w:pPr>
        <w:spacing w:line="560" w:lineRule="exact"/>
        <w:ind w:firstLine="640" w:firstLineChars="200"/>
        <w:rPr>
          <w:rFonts w:eastAsia="仿宋_GB2312"/>
          <w:sz w:val="32"/>
          <w:szCs w:val="32"/>
        </w:rPr>
      </w:pPr>
      <w:bookmarkStart w:id="18" w:name="_Toc166052415"/>
      <w:bookmarkStart w:id="19" w:name="_Toc14167"/>
      <w:bookmarkStart w:id="20" w:name="_Toc23990"/>
      <w:bookmarkStart w:id="21" w:name="_Toc32311"/>
      <w:bookmarkStart w:id="22" w:name="_Toc21721"/>
      <w:bookmarkStart w:id="23" w:name="_Toc26933"/>
      <w:bookmarkStart w:id="24" w:name="_Toc28047"/>
      <w:bookmarkStart w:id="25" w:name="_Toc2306"/>
      <w:bookmarkStart w:id="26" w:name="_Toc28585"/>
      <w:bookmarkStart w:id="27" w:name="_Toc24546"/>
      <w:bookmarkStart w:id="28" w:name="_Toc27588"/>
      <w:bookmarkStart w:id="29" w:name="_Toc160611368"/>
      <w:r>
        <w:rPr>
          <w:rFonts w:eastAsia="仿宋_GB2312"/>
          <w:sz w:val="32"/>
          <w:szCs w:val="32"/>
        </w:rPr>
        <w:t>事故发生单位为</w:t>
      </w:r>
      <w:r>
        <w:rPr>
          <w:rFonts w:hint="eastAsia" w:eastAsia="仿宋_GB2312"/>
          <w:sz w:val="32"/>
          <w:szCs w:val="32"/>
        </w:rPr>
        <w:t>山西阳光焦化集团股份有限公司下属二级企业阳光焦化厂，事故</w:t>
      </w:r>
      <w:r>
        <w:rPr>
          <w:rFonts w:eastAsia="仿宋_GB2312"/>
          <w:sz w:val="32"/>
          <w:szCs w:val="32"/>
        </w:rPr>
        <w:t>发生</w:t>
      </w:r>
      <w:r>
        <w:rPr>
          <w:rFonts w:hint="eastAsia" w:eastAsia="仿宋_GB2312"/>
          <w:sz w:val="32"/>
          <w:szCs w:val="32"/>
        </w:rPr>
        <w:t>地点为阳光焦化厂脱硫工段2</w:t>
      </w:r>
      <w:r>
        <w:rPr>
          <w:rFonts w:hint="eastAsia" w:eastAsia="仿宋_GB2312"/>
          <w:sz w:val="32"/>
          <w:szCs w:val="32"/>
          <w:vertAlign w:val="superscript"/>
        </w:rPr>
        <w:t>#</w:t>
      </w:r>
      <w:r>
        <w:rPr>
          <w:rFonts w:hint="eastAsia" w:eastAsia="仿宋_GB2312"/>
          <w:sz w:val="32"/>
          <w:szCs w:val="32"/>
        </w:rPr>
        <w:t>硫泡沫槽。</w:t>
      </w:r>
    </w:p>
    <w:p w14:paraId="2B9E8605">
      <w:pPr>
        <w:spacing w:line="560" w:lineRule="exact"/>
        <w:ind w:firstLine="640" w:firstLineChars="200"/>
        <w:rPr>
          <w:rFonts w:eastAsia="楷体_GB2312"/>
          <w:sz w:val="32"/>
          <w:szCs w:val="32"/>
        </w:rPr>
      </w:pPr>
      <w:r>
        <w:rPr>
          <w:rFonts w:hint="eastAsia" w:eastAsia="楷体_GB2312"/>
          <w:sz w:val="32"/>
          <w:szCs w:val="32"/>
        </w:rPr>
        <w:t>1.山西阳光焦化集团股份有限公司概况</w:t>
      </w:r>
      <w:bookmarkEnd w:id="18"/>
    </w:p>
    <w:p w14:paraId="54A5CC9E">
      <w:pPr>
        <w:spacing w:line="560" w:lineRule="exact"/>
        <w:ind w:firstLine="640" w:firstLineChars="200"/>
        <w:rPr>
          <w:rFonts w:eastAsia="仿宋_GB2312"/>
          <w:sz w:val="32"/>
          <w:szCs w:val="32"/>
        </w:rPr>
      </w:pPr>
      <w:bookmarkStart w:id="30" w:name="_Toc166052416"/>
      <w:r>
        <w:rPr>
          <w:rFonts w:hint="eastAsia" w:eastAsia="仿宋_GB2312"/>
          <w:sz w:val="32"/>
          <w:szCs w:val="32"/>
        </w:rPr>
        <w:t>山西阳光焦化集团股份有限公司</w:t>
      </w:r>
      <w:r>
        <w:rPr>
          <w:rFonts w:eastAsia="仿宋_GB2312"/>
          <w:sz w:val="32"/>
          <w:szCs w:val="32"/>
        </w:rPr>
        <w:t>成立于</w:t>
      </w:r>
      <w:r>
        <w:rPr>
          <w:rFonts w:hint="eastAsia" w:ascii="宋体" w:hAnsi="宋体" w:cs="宋体"/>
          <w:sz w:val="32"/>
          <w:szCs w:val="32"/>
        </w:rPr>
        <w:t>1998年7月22日</w:t>
      </w:r>
      <w:r>
        <w:rPr>
          <w:rFonts w:eastAsia="仿宋_GB2312"/>
          <w:sz w:val="32"/>
          <w:szCs w:val="32"/>
        </w:rPr>
        <w:t>，公司住所：</w:t>
      </w:r>
      <w:r>
        <w:rPr>
          <w:rFonts w:hint="eastAsia" w:eastAsia="仿宋_GB2312"/>
          <w:sz w:val="32"/>
          <w:szCs w:val="32"/>
        </w:rPr>
        <w:t>山西省河津经济技术开发区西区一号</w:t>
      </w:r>
      <w:r>
        <w:rPr>
          <w:rFonts w:eastAsia="仿宋_GB2312"/>
          <w:sz w:val="32"/>
          <w:szCs w:val="32"/>
        </w:rPr>
        <w:t>，统一社会信用代码为91140800113873561A，</w:t>
      </w:r>
      <w:r>
        <w:rPr>
          <w:rFonts w:hint="eastAsia" w:eastAsia="仿宋_GB2312"/>
          <w:sz w:val="32"/>
          <w:szCs w:val="32"/>
        </w:rPr>
        <w:t>法定代表人薛靛民，总经理薛国飞</w:t>
      </w:r>
      <w:r>
        <w:rPr>
          <w:rFonts w:eastAsia="仿宋_GB2312"/>
          <w:sz w:val="32"/>
          <w:szCs w:val="32"/>
        </w:rPr>
        <w:t>，注册资本</w:t>
      </w:r>
      <w:r>
        <w:rPr>
          <w:rFonts w:hint="eastAsia" w:eastAsia="仿宋_GB2312"/>
          <w:sz w:val="32"/>
          <w:szCs w:val="32"/>
        </w:rPr>
        <w:t>伍亿捌仟柒佰万元</w:t>
      </w:r>
      <w:r>
        <w:rPr>
          <w:rFonts w:eastAsia="仿宋_GB2312"/>
          <w:sz w:val="32"/>
          <w:szCs w:val="32"/>
        </w:rPr>
        <w:t>，类型为</w:t>
      </w:r>
      <w:r>
        <w:rPr>
          <w:rFonts w:hint="eastAsia" w:eastAsia="仿宋_GB2312"/>
          <w:sz w:val="32"/>
          <w:szCs w:val="32"/>
        </w:rPr>
        <w:t>股份有限公司（非上市、 自然人投资或控股）</w:t>
      </w:r>
      <w:r>
        <w:rPr>
          <w:rFonts w:eastAsia="仿宋_GB2312"/>
          <w:sz w:val="32"/>
          <w:szCs w:val="32"/>
        </w:rPr>
        <w:t>，企业的经营范围为</w:t>
      </w:r>
      <w:r>
        <w:rPr>
          <w:rFonts w:hint="eastAsia" w:eastAsia="仿宋_GB2312"/>
          <w:sz w:val="32"/>
          <w:szCs w:val="32"/>
        </w:rPr>
        <w:t>：一般项目：炼焦；煤 炭洗选；煤炭及制品销售；基础化学原料制造（不含危险化学品等许可类化学品的制造）；化工产品生产（不含许可类化工产品）；化工产品销售 （不含许可类化工产品）：专用化学产品制造（不含危险化学品）：专用化学产品销售（不含危险化学品）；金属矿石销售；非金属矿及制品销售：金属材料销售；金属结构销售；货物进出口；机械零件、零部件销售：新型建筑材料制造（不含危险化学品）：保温材料销售：国内货物运输代理；国内集装箱货物运输代理；铁路运输辅助活动；陆地管道运输：道路货物运输站经营；装卸搬运：总质量4.5吨及以下普通货运车辆道路货物运输（除网络货运和危险货物）。（除依法须经批准的项目外，凭营业执照依法自主开展经营活动）。许可项目：危险化学品生产、发电业务、输电业务、供（配）电业务；道路危险货物运输。（依法须经批准的项目，经相关部门批准后方可开展经营活动，具体经营项目以相关部门批准文件或许可证件为准）</w:t>
      </w:r>
      <w:r>
        <w:rPr>
          <w:rFonts w:eastAsia="仿宋_GB2312"/>
          <w:sz w:val="32"/>
          <w:szCs w:val="32"/>
        </w:rPr>
        <w:t>。</w:t>
      </w:r>
      <w:r>
        <w:rPr>
          <w:rFonts w:hint="eastAsia" w:eastAsia="仿宋_GB2312"/>
          <w:sz w:val="32"/>
          <w:szCs w:val="32"/>
        </w:rPr>
        <w:t>营业期限 1998 年 7 月 22 日至长期</w:t>
      </w:r>
      <w:r>
        <w:rPr>
          <w:rFonts w:eastAsia="仿宋_GB2312"/>
          <w:sz w:val="32"/>
          <w:szCs w:val="32"/>
        </w:rPr>
        <w:t>。</w:t>
      </w:r>
    </w:p>
    <w:p w14:paraId="4A9222E6">
      <w:pPr>
        <w:spacing w:line="560" w:lineRule="exact"/>
        <w:ind w:firstLine="640" w:firstLineChars="200"/>
        <w:rPr>
          <w:rFonts w:eastAsia="楷体_GB2312"/>
          <w:sz w:val="32"/>
          <w:szCs w:val="32"/>
        </w:rPr>
      </w:pPr>
      <w:r>
        <w:rPr>
          <w:rFonts w:eastAsia="楷体_GB2312"/>
          <w:sz w:val="32"/>
          <w:szCs w:val="32"/>
        </w:rPr>
        <w:t>2.</w:t>
      </w:r>
      <w:r>
        <w:t xml:space="preserve"> </w:t>
      </w:r>
      <w:r>
        <w:rPr>
          <w:rFonts w:hint="eastAsia" w:eastAsia="楷体_GB2312"/>
          <w:sz w:val="32"/>
          <w:szCs w:val="32"/>
        </w:rPr>
        <w:t>阳光焦化厂</w:t>
      </w:r>
      <w:r>
        <w:rPr>
          <w:rFonts w:eastAsia="楷体_GB2312"/>
          <w:sz w:val="32"/>
          <w:szCs w:val="32"/>
        </w:rPr>
        <w:t>概况</w:t>
      </w:r>
      <w:bookmarkEnd w:id="30"/>
    </w:p>
    <w:p w14:paraId="155B04B9">
      <w:pPr>
        <w:spacing w:line="560" w:lineRule="exact"/>
        <w:ind w:firstLine="640" w:firstLineChars="200"/>
        <w:rPr>
          <w:rFonts w:eastAsia="仿宋_GB2312"/>
          <w:sz w:val="32"/>
          <w:szCs w:val="32"/>
        </w:rPr>
      </w:pPr>
      <w:r>
        <w:rPr>
          <w:rFonts w:hint="eastAsia" w:eastAsia="仿宋_GB2312"/>
          <w:sz w:val="32"/>
          <w:szCs w:val="32"/>
        </w:rPr>
        <w:t>事故发生单位阳光焦化厂是山西阳光焦化集团股份有限公司非法人性质的二级生产企业，建有140万吨/年焦化装置(双联、下喷、单热式2×65孔JN60-6型焦炉)，配套140 万吨/年脱硫、硫铵、蒸氨装置，300 万吨/年终冷洗苯及粗苯蒸馏装置及二级脱硫、煤气加压系统。在册员工约530人，设有人力行政部、安全部、环保部、生产技术部、质量管理部、炼焦装置区、化产装置区。发生事故的化产装置区</w:t>
      </w:r>
      <w:r>
        <w:rPr>
          <w:rFonts w:eastAsia="仿宋_GB2312"/>
          <w:sz w:val="32"/>
          <w:szCs w:val="32"/>
        </w:rPr>
        <w:t>设有冷鼓工段、脱硫工段、硫铵工段、洗脱苯工段、制酸工段、污水工段、煤气加压工段、油库工段，共8个工段，并设有1个检修班和1个电工班。</w:t>
      </w:r>
    </w:p>
    <w:p w14:paraId="6AC90F49">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3.事故现场脱硫工段概况</w:t>
      </w:r>
    </w:p>
    <w:p w14:paraId="778A3435">
      <w:pPr>
        <w:spacing w:line="560" w:lineRule="exact"/>
        <w:ind w:firstLine="640" w:firstLineChars="200"/>
        <w:rPr>
          <w:rFonts w:eastAsia="仿宋_GB2312"/>
          <w:sz w:val="32"/>
          <w:szCs w:val="32"/>
        </w:rPr>
      </w:pPr>
      <w:r>
        <w:rPr>
          <w:rFonts w:hint="eastAsia" w:eastAsia="仿宋_GB2312"/>
          <w:sz w:val="32"/>
          <w:szCs w:val="32"/>
        </w:rPr>
        <w:t>发生事故的2</w:t>
      </w:r>
      <w:r>
        <w:rPr>
          <w:rFonts w:hint="eastAsia" w:eastAsia="仿宋_GB2312"/>
          <w:sz w:val="32"/>
          <w:szCs w:val="32"/>
          <w:vertAlign w:val="superscript"/>
        </w:rPr>
        <w:t>#</w:t>
      </w:r>
      <w:r>
        <w:rPr>
          <w:rFonts w:hint="eastAsia" w:eastAsia="仿宋_GB2312"/>
          <w:sz w:val="32"/>
          <w:szCs w:val="32"/>
        </w:rPr>
        <w:t>硫泡沫槽位于阳光焦化厂化产装置区脱硫工段三层厂房内，厂房总高16米，设有3台硫泡沫槽、1台清液槽（停用）、5台熔硫釜（停用）、硫磺库（停用）。2</w:t>
      </w:r>
      <w:r>
        <w:rPr>
          <w:rFonts w:hint="eastAsia" w:eastAsia="仿宋_GB2312"/>
          <w:sz w:val="32"/>
          <w:szCs w:val="32"/>
          <w:vertAlign w:val="superscript"/>
        </w:rPr>
        <w:t>#</w:t>
      </w:r>
      <w:r>
        <w:rPr>
          <w:rFonts w:hint="eastAsia" w:eastAsia="仿宋_GB2312"/>
          <w:sz w:val="32"/>
          <w:szCs w:val="32"/>
        </w:rPr>
        <w:t>硫泡沫槽高4.1</w:t>
      </w:r>
      <w:r>
        <w:rPr>
          <w:rFonts w:eastAsia="仿宋_GB2312"/>
          <w:sz w:val="32"/>
          <w:szCs w:val="32"/>
        </w:rPr>
        <w:t>m，</w:t>
      </w:r>
      <w:r>
        <w:rPr>
          <w:rFonts w:hint="eastAsia" w:eastAsia="仿宋_GB2312"/>
          <w:sz w:val="32"/>
          <w:szCs w:val="32"/>
        </w:rPr>
        <w:t>直径3.4</w:t>
      </w:r>
      <w:r>
        <w:rPr>
          <w:rFonts w:eastAsia="仿宋_GB2312"/>
          <w:sz w:val="32"/>
          <w:szCs w:val="32"/>
        </w:rPr>
        <w:t>m</w:t>
      </w:r>
      <w:r>
        <w:rPr>
          <w:rFonts w:hint="eastAsia" w:eastAsia="仿宋_GB2312"/>
          <w:sz w:val="32"/>
          <w:szCs w:val="32"/>
        </w:rPr>
        <w:t>，槽顶位于3层平台上方约1.2米，槽底呈锥形，锥形高度约1.2米，槽体锥形底距2层平台1.3米。槽顶中心位置设有搅拌机，搅拌机旁设置2根进料管、1根尾气回收管。进料管道和尾气回收管道均伸入硫泡沫槽内，槽顶为密封状态。</w:t>
      </w:r>
    </w:p>
    <w:p w14:paraId="2B255F49">
      <w:pPr>
        <w:spacing w:line="560" w:lineRule="exact"/>
        <w:ind w:firstLine="640" w:firstLineChars="200"/>
        <w:rPr>
          <w:rFonts w:ascii="楷体_GB2312" w:hAnsi="楷体_GB2312" w:eastAsia="楷体_GB2312" w:cs="楷体_GB2312"/>
          <w:kern w:val="2"/>
          <w:sz w:val="32"/>
          <w:szCs w:val="32"/>
        </w:rPr>
      </w:pPr>
      <w:r>
        <w:rPr>
          <w:rFonts w:hint="eastAsia" w:eastAsia="仿宋_GB2312"/>
          <w:sz w:val="32"/>
          <w:szCs w:val="32"/>
        </w:rPr>
        <w:t xml:space="preserve">硫泡沫槽主要用于接收来自再生塔顶部的硫泡沫，其主要成分为：3%-5%单质硫、5-8g/L挥发氨、40-50ppmPDS脱硫剂及少量硫代硫酸铵、硫氰酸铵、硫酸铵。经过加热、搅拌、澄清分层后，清液经漏斗返回反应槽，硫泡沫通过泡沫泵输送至制酸工段，作为原料使用。 </w:t>
      </w:r>
    </w:p>
    <w:p w14:paraId="1955DE64">
      <w:pPr>
        <w:adjustRightInd w:val="0"/>
        <w:snapToGrid w:val="0"/>
        <w:spacing w:line="560" w:lineRule="exact"/>
        <w:ind w:firstLine="640" w:firstLineChars="200"/>
        <w:outlineLvl w:val="1"/>
        <w:rPr>
          <w:rFonts w:ascii="楷体_GB2312" w:hAnsi="楷体_GB2312" w:eastAsia="楷体_GB2312" w:cs="楷体_GB2312"/>
          <w:kern w:val="2"/>
          <w:sz w:val="32"/>
          <w:szCs w:val="32"/>
        </w:rPr>
      </w:pPr>
      <w:bookmarkStart w:id="31" w:name="_Toc22577"/>
      <w:r>
        <w:rPr>
          <w:rFonts w:hint="eastAsia" w:ascii="楷体_GB2312" w:hAnsi="楷体_GB2312" w:eastAsia="楷体_GB2312" w:cs="楷体_GB2312"/>
          <w:kern w:val="2"/>
          <w:sz w:val="32"/>
          <w:szCs w:val="32"/>
        </w:rPr>
        <w:t>（二）事故发生单位安全管理情况</w:t>
      </w:r>
      <w:bookmarkEnd w:id="19"/>
      <w:bookmarkEnd w:id="20"/>
      <w:bookmarkEnd w:id="21"/>
      <w:bookmarkEnd w:id="22"/>
      <w:bookmarkEnd w:id="23"/>
      <w:bookmarkEnd w:id="24"/>
      <w:bookmarkEnd w:id="25"/>
      <w:bookmarkEnd w:id="26"/>
      <w:bookmarkEnd w:id="27"/>
      <w:bookmarkEnd w:id="28"/>
      <w:bookmarkEnd w:id="31"/>
    </w:p>
    <w:p w14:paraId="4341C901">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1.山西阳光焦化集团股份有限公司安全管理情况</w:t>
      </w:r>
    </w:p>
    <w:p w14:paraId="1BCD4A2D">
      <w:pPr>
        <w:spacing w:line="560" w:lineRule="exact"/>
        <w:ind w:firstLine="640" w:firstLineChars="200"/>
        <w:rPr>
          <w:rFonts w:eastAsia="仿宋_GB2312"/>
          <w:sz w:val="32"/>
          <w:szCs w:val="32"/>
        </w:rPr>
      </w:pPr>
      <w:r>
        <w:rPr>
          <w:rFonts w:hint="eastAsia" w:eastAsia="仿宋_GB2312"/>
          <w:sz w:val="32"/>
          <w:szCs w:val="32"/>
        </w:rPr>
        <w:t>山西阳光焦化集团股份有限公司成立有安全生产委员会，由总经理担任安委会主任，安委会办公室设在公司安全部。公司建立有安全生产责任制、安全生产管理制度、风险分级管理隐患排查治理制度、应急管理制度及生产安全事故应急预案等比较完善的安全生产管理制度体系及考核办法。</w:t>
      </w:r>
    </w:p>
    <w:p w14:paraId="3C4C65AB">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2.阳光焦化厂安全管理情况</w:t>
      </w:r>
    </w:p>
    <w:p w14:paraId="5BBE1DA2">
      <w:pPr>
        <w:spacing w:line="560" w:lineRule="exact"/>
        <w:ind w:firstLine="640" w:firstLineChars="200"/>
        <w:rPr>
          <w:rFonts w:eastAsia="仿宋_GB2312"/>
          <w:sz w:val="32"/>
          <w:szCs w:val="32"/>
        </w:rPr>
      </w:pPr>
      <w:bookmarkStart w:id="32" w:name="_Toc1963"/>
      <w:r>
        <w:rPr>
          <w:rFonts w:hint="eastAsia" w:eastAsia="仿宋_GB2312"/>
          <w:sz w:val="32"/>
          <w:szCs w:val="32"/>
        </w:rPr>
        <w:t>阳光焦化厂主要负责人王文军由山西阳光焦化集团股份有限公司下文任命为厂长，取得有</w:t>
      </w:r>
      <w:r>
        <w:rPr>
          <w:rFonts w:eastAsia="仿宋_GB2312"/>
          <w:sz w:val="32"/>
          <w:szCs w:val="32"/>
        </w:rPr>
        <w:t>安全生产知识和管理能力考核合格证</w:t>
      </w:r>
      <w:r>
        <w:rPr>
          <w:rFonts w:hint="eastAsia" w:eastAsia="仿宋_GB2312"/>
          <w:sz w:val="32"/>
          <w:szCs w:val="32"/>
        </w:rPr>
        <w:t>。阳光焦化厂设有安委会及安全部，安全部包括经理1人、安全主管1人、安全工程师1人，安全员3人，其中2 人为化工注册安全工程师。该厂下设两个装置区，配备有6名安全员。阳光焦化厂执行山西阳光焦化集团股份有限公司《安全生产责任制》，编制有《安全风险分级管控与隐患排查治理双重预防机制报告》，每季度召开一次安委会，每月召开一次安全例会，每月组织一次综合安全大检查，隐患排查按照双预防数字化系统执行。制定了安全管理制度、安全培训教育及安全考核管理制度，全员参加应急管理部门组织的生产经营单位从业人员安全生产培训并取得合格证书；同时，每月分级分类组织2次全员安全培训教育。该厂执行公司《工艺操作规程》《设备检修规程》，应急管理方面执行公司《生产安全事故应急预案》《生产安全事故专项应急预案》（15类）《生产安全事故现场处置方案》（24类），每年组织两次综合或专项应急演练，组织两次重大危险源应急演练。</w:t>
      </w:r>
    </w:p>
    <w:p w14:paraId="0F99748A">
      <w:pPr>
        <w:spacing w:line="560" w:lineRule="exact"/>
        <w:ind w:firstLine="640" w:firstLineChars="200"/>
        <w:rPr>
          <w:rFonts w:ascii="楷体_GB2312" w:hAnsi="楷体_GB2312" w:eastAsia="楷体_GB2312" w:cs="楷体_GB2312"/>
          <w:kern w:val="2"/>
          <w:sz w:val="32"/>
          <w:szCs w:val="32"/>
        </w:rPr>
      </w:pPr>
      <w:bookmarkStart w:id="33" w:name="_Toc25175"/>
      <w:bookmarkStart w:id="34" w:name="_Toc20123"/>
      <w:r>
        <w:rPr>
          <w:rFonts w:hint="eastAsia" w:ascii="楷体_GB2312" w:hAnsi="楷体_GB2312" w:eastAsia="楷体_GB2312" w:cs="楷体_GB2312"/>
          <w:kern w:val="2"/>
          <w:sz w:val="32"/>
          <w:szCs w:val="32"/>
        </w:rPr>
        <w:t>3.发生事故的化产装置区安全管理情况</w:t>
      </w:r>
      <w:bookmarkEnd w:id="32"/>
      <w:bookmarkEnd w:id="33"/>
      <w:bookmarkEnd w:id="34"/>
    </w:p>
    <w:p w14:paraId="58127D61">
      <w:pPr>
        <w:spacing w:line="560" w:lineRule="exact"/>
        <w:ind w:firstLine="640" w:firstLineChars="200"/>
        <w:rPr>
          <w:rFonts w:eastAsia="仿宋_GB2312"/>
          <w:sz w:val="32"/>
          <w:szCs w:val="32"/>
        </w:rPr>
      </w:pPr>
      <w:r>
        <w:rPr>
          <w:rFonts w:hint="eastAsia" w:eastAsia="仿宋_GB2312"/>
          <w:sz w:val="32"/>
          <w:szCs w:val="32"/>
        </w:rPr>
        <w:t>化产装置区属于车间级生产单位，设有经理1名、另设有工艺主管、安全主管及安全员2名。发生事故的电气班设班长1人、电工8人，实行包片巡检制度。事故发生的区域脱硫工段设工段长1人，员工9人，实行四班三倒。另外，化产装置区持有操作证的特种作业人员焊工8人、电工7人、高处作业20人、煤气工26人、制冷工4人。</w:t>
      </w:r>
      <w:r>
        <w:rPr>
          <w:rFonts w:eastAsia="仿宋_GB2312"/>
          <w:sz w:val="32"/>
          <w:szCs w:val="32"/>
        </w:rPr>
        <w:t>此次搅拌机电机润滑保养</w:t>
      </w:r>
      <w:r>
        <w:rPr>
          <w:rFonts w:hint="eastAsia" w:eastAsia="仿宋_GB2312"/>
          <w:sz w:val="32"/>
          <w:szCs w:val="32"/>
        </w:rPr>
        <w:t>作业3名电工中，事故人员文小中特种作业证件号为：T142727199203050051。化产装置区每月月底参加阳光焦化厂综合安全检查工作，每周二组织全装置区工段长开展一次综合安全检查。日常设备巡检由岗位员工每2小时巡检一次，重大危险源区域每小时巡检一次，巡检记录上传“小神探”系统和“双预防”系统，对排查出的隐患线上制定整改措施、责任人、整改时间等。安全培训按照公司计划落实，每月组织化产装置区安全培训教育并进行全员考试。应急管理方面于每月初对全装置区应急事故柜进行检查，对不合格应急物资及时更换。化产装置区一般检修作业执行《作业分析表（JSA）》事项，由工段长签发安全工作票。特殊作业执行公司安全工作许可管理制度及相关特殊作业安全管理制度，严格进行审核、审批。</w:t>
      </w:r>
    </w:p>
    <w:p w14:paraId="5316F3E2">
      <w:pPr>
        <w:spacing w:line="560" w:lineRule="exact"/>
        <w:ind w:firstLine="640" w:firstLineChars="200"/>
        <w:rPr>
          <w:rFonts w:ascii="仿宋_GB2312" w:hAnsi="仿宋_GB2312" w:eastAsia="仿宋_GB2312" w:cs="仿宋_GB2312"/>
          <w:sz w:val="32"/>
          <w:szCs w:val="32"/>
        </w:rPr>
      </w:pPr>
      <w:r>
        <w:rPr>
          <w:rFonts w:hint="eastAsia" w:eastAsia="仿宋_GB2312"/>
          <w:sz w:val="32"/>
          <w:szCs w:val="32"/>
        </w:rPr>
        <w:t>但在实际安全生产工作过程中，存在安全生产责任制落实不到位的问题，2</w:t>
      </w:r>
      <w:r>
        <w:rPr>
          <w:rFonts w:hint="eastAsia" w:eastAsia="仿宋_GB2312"/>
          <w:sz w:val="32"/>
          <w:szCs w:val="32"/>
          <w:vertAlign w:val="superscript"/>
        </w:rPr>
        <w:t>#</w:t>
      </w:r>
      <w:r>
        <w:rPr>
          <w:rFonts w:hint="eastAsia" w:eastAsia="仿宋_GB2312"/>
          <w:sz w:val="32"/>
          <w:szCs w:val="32"/>
        </w:rPr>
        <w:t>硫泡沫槽作为存在氨气（</w:t>
      </w:r>
      <w:r>
        <w:rPr>
          <w:rFonts w:hint="eastAsia" w:ascii="仿宋_GB2312" w:hAnsi="仿宋_GB2312" w:eastAsia="仿宋_GB2312" w:cs="仿宋_GB2312"/>
          <w:sz w:val="32"/>
          <w:szCs w:val="32"/>
        </w:rPr>
        <w:t>NH</w:t>
      </w:r>
      <w:r>
        <w:rPr>
          <w:rFonts w:hint="eastAsia" w:ascii="仿宋_GB2312" w:hAnsi="仿宋_GB2312" w:eastAsia="仿宋_GB2312" w:cs="仿宋_GB2312"/>
          <w:sz w:val="32"/>
          <w:szCs w:val="32"/>
          <w:vertAlign w:val="subscript"/>
        </w:rPr>
        <w:t>3</w:t>
      </w:r>
      <w:r>
        <w:rPr>
          <w:rFonts w:hint="eastAsia" w:eastAsia="仿宋_GB2312"/>
          <w:sz w:val="32"/>
          <w:szCs w:val="32"/>
        </w:rPr>
        <w:t>）、一氧化碳（</w:t>
      </w:r>
      <w:r>
        <w:rPr>
          <w:rFonts w:hint="eastAsia" w:ascii="仿宋_GB2312" w:hAnsi="仿宋_GB2312" w:eastAsia="仿宋_GB2312" w:cs="仿宋_GB2312"/>
          <w:sz w:val="32"/>
          <w:szCs w:val="32"/>
        </w:rPr>
        <w:t>CO</w:t>
      </w:r>
      <w:r>
        <w:rPr>
          <w:rFonts w:hint="eastAsia" w:eastAsia="仿宋_GB2312"/>
          <w:sz w:val="32"/>
          <w:szCs w:val="32"/>
        </w:rPr>
        <w:t>）等易燃易爆、有毒有害成分的受限空间，2013年4月顶板北侧进料口改造时</w:t>
      </w:r>
      <w:r>
        <w:rPr>
          <w:rFonts w:hint="eastAsia" w:ascii="仿宋_GB2312" w:hAnsi="仿宋_GB2312" w:eastAsia="仿宋_GB2312" w:cs="仿宋_GB2312"/>
          <w:sz w:val="32"/>
          <w:szCs w:val="32"/>
        </w:rPr>
        <w:t>不锈钢顶板焊接不到位；焊点存在明显腐蚀锈蚀可能导致焊板脱落的风险未被辨识出来，未采取可靠的风险管控措施；顶板焊接不到位、腐蚀锈蚀、进料管道变形移位产生应力影响了焊点的牢固性与该钢板的稳定性的隐患一直未排查出来、未得到有效整改治理；搅拌电机润滑保养维护人员作业前风险辨识与隐患排查同样不到位，最终导致该不锈钢顶板脱落，作业人员与不锈钢板同时跌入槽内。</w:t>
      </w:r>
    </w:p>
    <w:p w14:paraId="63116481">
      <w:pPr>
        <w:pStyle w:val="4"/>
        <w:tabs>
          <w:tab w:val="center" w:pos="4422"/>
        </w:tabs>
        <w:spacing w:before="0" w:beforeAutospacing="0" w:after="0" w:afterAutospacing="0" w:line="560" w:lineRule="exact"/>
        <w:ind w:firstLine="643" w:firstLineChars="200"/>
        <w:rPr>
          <w:rFonts w:hint="default" w:ascii="仿宋_GB2312" w:hAnsi="CESI仿宋-GB2312" w:eastAsia="楷体_GB2312" w:cs="CESI仿宋-GB2312"/>
          <w:sz w:val="32"/>
          <w:szCs w:val="32"/>
        </w:rPr>
      </w:pPr>
      <w:bookmarkStart w:id="35" w:name="_Toc21645"/>
      <w:r>
        <w:rPr>
          <w:rFonts w:ascii="楷体_GB2312" w:hAnsi="楷体_GB2312" w:eastAsia="楷体_GB2312" w:cs="楷体_GB2312"/>
          <w:kern w:val="2"/>
          <w:sz w:val="32"/>
          <w:szCs w:val="32"/>
        </w:rPr>
        <w:t>（三）</w:t>
      </w:r>
      <w:r>
        <w:rPr>
          <w:rFonts w:ascii="楷体_GB2312" w:hAnsi="楷体_GB2312" w:eastAsia="楷体_GB2312" w:cs="楷体_GB2312"/>
          <w:b w:val="0"/>
          <w:bCs w:val="0"/>
          <w:sz w:val="32"/>
          <w:szCs w:val="32"/>
        </w:rPr>
        <w:t>事故发生经过</w:t>
      </w:r>
      <w:bookmarkEnd w:id="14"/>
      <w:bookmarkEnd w:id="29"/>
      <w:bookmarkEnd w:id="35"/>
      <w:r>
        <w:rPr>
          <w:rFonts w:ascii="楷体_GB2312" w:hAnsi="楷体_GB2312" w:eastAsia="楷体_GB2312" w:cs="楷体_GB2312"/>
          <w:b w:val="0"/>
          <w:bCs w:val="0"/>
          <w:sz w:val="32"/>
          <w:szCs w:val="32"/>
        </w:rPr>
        <w:tab/>
      </w:r>
    </w:p>
    <w:bookmarkEnd w:id="15"/>
    <w:bookmarkEnd w:id="16"/>
    <w:bookmarkEnd w:id="17"/>
    <w:p w14:paraId="5AC7A1F2">
      <w:pPr>
        <w:spacing w:line="560" w:lineRule="exact"/>
        <w:ind w:firstLine="640" w:firstLineChars="200"/>
        <w:rPr>
          <w:rFonts w:eastAsia="仿宋_GB2312"/>
          <w:sz w:val="32"/>
          <w:szCs w:val="32"/>
        </w:rPr>
      </w:pPr>
      <w:bookmarkStart w:id="36" w:name="_Toc160611371"/>
      <w:r>
        <w:rPr>
          <w:rFonts w:eastAsia="仿宋_GB2312"/>
          <w:sz w:val="32"/>
          <w:szCs w:val="32"/>
        </w:rPr>
        <w:t>2024年</w:t>
      </w:r>
      <w:r>
        <w:rPr>
          <w:rFonts w:hint="eastAsia" w:eastAsia="仿宋_GB2312"/>
          <w:sz w:val="32"/>
          <w:szCs w:val="32"/>
        </w:rPr>
        <w:t>8月6日上午10点左右，</w:t>
      </w:r>
      <w:r>
        <w:rPr>
          <w:rFonts w:eastAsia="仿宋_GB2312"/>
          <w:sz w:val="32"/>
          <w:szCs w:val="32"/>
        </w:rPr>
        <w:t>化产装置区电工班长许云岗</w:t>
      </w:r>
      <w:r>
        <w:rPr>
          <w:rFonts w:hint="eastAsia" w:eastAsia="仿宋_GB2312"/>
          <w:sz w:val="32"/>
          <w:szCs w:val="32"/>
        </w:rPr>
        <w:t>巡检到脱硫工段厂房三层，听到2</w:t>
      </w:r>
      <w:r>
        <w:rPr>
          <w:rFonts w:hint="eastAsia" w:eastAsia="仿宋_GB2312"/>
          <w:sz w:val="32"/>
          <w:szCs w:val="32"/>
          <w:vertAlign w:val="superscript"/>
        </w:rPr>
        <w:t>#</w:t>
      </w:r>
      <w:r>
        <w:rPr>
          <w:rFonts w:hint="eastAsia" w:eastAsia="仿宋_GB2312"/>
          <w:sz w:val="32"/>
          <w:szCs w:val="32"/>
        </w:rPr>
        <w:t>泡沫槽顶部搅拌机电机发出异响。8月7日早上电工班班前会，</w:t>
      </w:r>
      <w:r>
        <w:rPr>
          <w:rFonts w:eastAsia="仿宋_GB2312"/>
          <w:sz w:val="32"/>
          <w:szCs w:val="32"/>
        </w:rPr>
        <w:t>班长许云</w:t>
      </w:r>
      <w:r>
        <w:rPr>
          <w:rFonts w:hint="eastAsia" w:eastAsia="仿宋_GB2312"/>
          <w:sz w:val="32"/>
          <w:szCs w:val="32"/>
        </w:rPr>
        <w:t>安排脱硫工段包片电工杨杰对脱硫2#泡沫槽搅拌机电机进行润滑保养。</w:t>
      </w:r>
      <w:r>
        <w:rPr>
          <w:rFonts w:eastAsia="仿宋_GB2312"/>
          <w:sz w:val="32"/>
          <w:szCs w:val="32"/>
        </w:rPr>
        <w:t>8月8日早上</w:t>
      </w:r>
      <w:r>
        <w:rPr>
          <w:rFonts w:hint="eastAsia" w:eastAsia="仿宋_GB2312"/>
          <w:sz w:val="32"/>
          <w:szCs w:val="32"/>
        </w:rPr>
        <w:t>脱硫工段包片</w:t>
      </w:r>
      <w:r>
        <w:rPr>
          <w:rFonts w:eastAsia="仿宋_GB2312"/>
          <w:sz w:val="32"/>
          <w:szCs w:val="32"/>
        </w:rPr>
        <w:t>电工杨杰</w:t>
      </w:r>
      <w:r>
        <w:rPr>
          <w:rFonts w:hint="eastAsia" w:eastAsia="仿宋_GB2312"/>
          <w:sz w:val="32"/>
          <w:szCs w:val="32"/>
        </w:rPr>
        <w:t>带领电工</w:t>
      </w:r>
      <w:r>
        <w:rPr>
          <w:rFonts w:eastAsia="仿宋_GB2312"/>
          <w:sz w:val="32"/>
          <w:szCs w:val="32"/>
        </w:rPr>
        <w:t>师锦涛、</w:t>
      </w:r>
      <w:r>
        <w:rPr>
          <w:rFonts w:hint="eastAsia" w:eastAsia="仿宋_GB2312"/>
          <w:sz w:val="32"/>
          <w:szCs w:val="32"/>
        </w:rPr>
        <w:t>电工</w:t>
      </w:r>
      <w:r>
        <w:rPr>
          <w:rFonts w:eastAsia="仿宋_GB2312"/>
          <w:sz w:val="32"/>
          <w:szCs w:val="32"/>
        </w:rPr>
        <w:t>文小中3人</w:t>
      </w:r>
      <w:r>
        <w:rPr>
          <w:rFonts w:hint="eastAsia" w:eastAsia="仿宋_GB2312"/>
          <w:sz w:val="32"/>
          <w:szCs w:val="32"/>
        </w:rPr>
        <w:t>一起</w:t>
      </w:r>
      <w:r>
        <w:rPr>
          <w:rFonts w:eastAsia="仿宋_GB2312"/>
          <w:sz w:val="32"/>
          <w:szCs w:val="32"/>
        </w:rPr>
        <w:t>对2</w:t>
      </w:r>
      <w:r>
        <w:rPr>
          <w:rFonts w:eastAsia="仿宋_GB2312"/>
          <w:sz w:val="32"/>
          <w:szCs w:val="32"/>
          <w:vertAlign w:val="superscript"/>
        </w:rPr>
        <w:t>#</w:t>
      </w:r>
      <w:r>
        <w:rPr>
          <w:rFonts w:eastAsia="仿宋_GB2312"/>
          <w:sz w:val="32"/>
          <w:szCs w:val="32"/>
        </w:rPr>
        <w:t>硫泡沫槽搅拌机电机</w:t>
      </w:r>
      <w:r>
        <w:rPr>
          <w:rFonts w:hint="eastAsia" w:eastAsia="仿宋_GB2312"/>
          <w:sz w:val="32"/>
          <w:szCs w:val="32"/>
        </w:rPr>
        <w:t>进行</w:t>
      </w:r>
      <w:r>
        <w:rPr>
          <w:rFonts w:eastAsia="仿宋_GB2312"/>
          <w:sz w:val="32"/>
          <w:szCs w:val="32"/>
        </w:rPr>
        <w:t>润滑保养</w:t>
      </w:r>
      <w:r>
        <w:rPr>
          <w:rFonts w:hint="eastAsia" w:eastAsia="仿宋_GB2312"/>
          <w:sz w:val="32"/>
          <w:szCs w:val="32"/>
        </w:rPr>
        <w:t>。</w:t>
      </w:r>
      <w:r>
        <w:rPr>
          <w:rFonts w:eastAsia="仿宋_GB2312"/>
          <w:sz w:val="32"/>
          <w:szCs w:val="32"/>
        </w:rPr>
        <w:t>9：00杨杰办理了《安全</w:t>
      </w:r>
      <w:r>
        <w:rPr>
          <w:rFonts w:hint="eastAsia" w:eastAsia="仿宋_GB2312"/>
          <w:sz w:val="32"/>
          <w:szCs w:val="32"/>
        </w:rPr>
        <w:t>工作</w:t>
      </w:r>
      <w:r>
        <w:rPr>
          <w:rFonts w:eastAsia="仿宋_GB2312"/>
          <w:sz w:val="32"/>
          <w:szCs w:val="32"/>
        </w:rPr>
        <w:t>许可</w:t>
      </w:r>
      <w:r>
        <w:rPr>
          <w:rFonts w:hint="eastAsia" w:eastAsia="仿宋_GB2312"/>
          <w:sz w:val="32"/>
          <w:szCs w:val="32"/>
        </w:rPr>
        <w:t>证</w:t>
      </w:r>
      <w:r>
        <w:rPr>
          <w:rFonts w:eastAsia="仿宋_GB2312"/>
          <w:sz w:val="32"/>
          <w:szCs w:val="32"/>
        </w:rPr>
        <w:t>》，</w:t>
      </w:r>
      <w:r>
        <w:rPr>
          <w:rFonts w:hint="eastAsia" w:eastAsia="仿宋_GB2312"/>
          <w:sz w:val="32"/>
          <w:szCs w:val="32"/>
        </w:rPr>
        <w:t>脱硫工段长李晓勇结合《工作安全分析表》填写事项对</w:t>
      </w:r>
      <w:r>
        <w:rPr>
          <w:rFonts w:eastAsia="仿宋_GB2312"/>
          <w:sz w:val="32"/>
          <w:szCs w:val="32"/>
        </w:rPr>
        <w:t>杨杰、师锦涛、文小中3人</w:t>
      </w:r>
      <w:r>
        <w:rPr>
          <w:rFonts w:hint="eastAsia" w:eastAsia="仿宋_GB2312"/>
          <w:sz w:val="32"/>
          <w:szCs w:val="32"/>
        </w:rPr>
        <w:t>进行了安全技术交底，并</w:t>
      </w:r>
      <w:r>
        <w:rPr>
          <w:rFonts w:eastAsia="仿宋_GB2312"/>
          <w:sz w:val="32"/>
          <w:szCs w:val="32"/>
        </w:rPr>
        <w:t>审批</w:t>
      </w:r>
      <w:r>
        <w:rPr>
          <w:rFonts w:hint="eastAsia" w:eastAsia="仿宋_GB2312"/>
          <w:sz w:val="32"/>
          <w:szCs w:val="32"/>
        </w:rPr>
        <w:t>了</w:t>
      </w:r>
      <w:r>
        <w:rPr>
          <w:rFonts w:eastAsia="仿宋_GB2312"/>
          <w:sz w:val="32"/>
          <w:szCs w:val="32"/>
        </w:rPr>
        <w:t>《安全</w:t>
      </w:r>
      <w:r>
        <w:rPr>
          <w:rFonts w:hint="eastAsia" w:eastAsia="仿宋_GB2312"/>
          <w:sz w:val="32"/>
          <w:szCs w:val="32"/>
        </w:rPr>
        <w:t>工作</w:t>
      </w:r>
      <w:r>
        <w:rPr>
          <w:rFonts w:eastAsia="仿宋_GB2312"/>
          <w:sz w:val="32"/>
          <w:szCs w:val="32"/>
        </w:rPr>
        <w:t>许可</w:t>
      </w:r>
      <w:r>
        <w:rPr>
          <w:rFonts w:hint="eastAsia" w:eastAsia="仿宋_GB2312"/>
          <w:sz w:val="32"/>
          <w:szCs w:val="32"/>
        </w:rPr>
        <w:t>证</w:t>
      </w:r>
      <w:r>
        <w:rPr>
          <w:rFonts w:eastAsia="仿宋_GB2312"/>
          <w:sz w:val="32"/>
          <w:szCs w:val="32"/>
        </w:rPr>
        <w:t>》</w:t>
      </w:r>
      <w:r>
        <w:rPr>
          <w:rFonts w:hint="eastAsia" w:eastAsia="仿宋_GB2312"/>
          <w:sz w:val="32"/>
          <w:szCs w:val="32"/>
        </w:rPr>
        <w:t>。</w:t>
      </w:r>
      <w:r>
        <w:rPr>
          <w:rFonts w:eastAsia="仿宋_GB2312"/>
          <w:sz w:val="32"/>
          <w:szCs w:val="32"/>
        </w:rPr>
        <w:t>因</w:t>
      </w:r>
      <w:r>
        <w:rPr>
          <w:rFonts w:hint="eastAsia" w:eastAsia="仿宋_GB2312"/>
          <w:sz w:val="32"/>
          <w:szCs w:val="32"/>
        </w:rPr>
        <w:t>公司</w:t>
      </w:r>
      <w:r>
        <w:rPr>
          <w:rFonts w:eastAsia="仿宋_GB2312"/>
          <w:sz w:val="32"/>
          <w:szCs w:val="32"/>
        </w:rPr>
        <w:t>检查配电室，电工班长</w:t>
      </w:r>
      <w:r>
        <w:rPr>
          <w:rFonts w:hint="eastAsia" w:eastAsia="仿宋_GB2312"/>
          <w:sz w:val="32"/>
          <w:szCs w:val="32"/>
        </w:rPr>
        <w:t>许云岗用对讲机通知</w:t>
      </w:r>
      <w:r>
        <w:rPr>
          <w:rFonts w:eastAsia="仿宋_GB2312"/>
          <w:sz w:val="32"/>
          <w:szCs w:val="32"/>
        </w:rPr>
        <w:t>杨杰、师锦涛、文小中</w:t>
      </w:r>
      <w:r>
        <w:rPr>
          <w:rFonts w:hint="eastAsia" w:eastAsia="仿宋_GB2312"/>
          <w:sz w:val="32"/>
          <w:szCs w:val="32"/>
        </w:rPr>
        <w:t>3</w:t>
      </w:r>
      <w:r>
        <w:rPr>
          <w:rFonts w:eastAsia="仿宋_GB2312"/>
          <w:sz w:val="32"/>
          <w:szCs w:val="32"/>
        </w:rPr>
        <w:t>人配合</w:t>
      </w:r>
      <w:r>
        <w:rPr>
          <w:rFonts w:hint="eastAsia" w:eastAsia="仿宋_GB2312"/>
          <w:sz w:val="32"/>
          <w:szCs w:val="32"/>
        </w:rPr>
        <w:t>检查，</w:t>
      </w:r>
      <w:r>
        <w:rPr>
          <w:rFonts w:eastAsia="仿宋_GB2312"/>
          <w:sz w:val="32"/>
          <w:szCs w:val="32"/>
        </w:rPr>
        <w:t>2</w:t>
      </w:r>
      <w:r>
        <w:rPr>
          <w:rFonts w:eastAsia="仿宋_GB2312"/>
          <w:sz w:val="32"/>
          <w:szCs w:val="32"/>
          <w:vertAlign w:val="superscript"/>
        </w:rPr>
        <w:t>#</w:t>
      </w:r>
      <w:r>
        <w:rPr>
          <w:rFonts w:eastAsia="仿宋_GB2312"/>
          <w:sz w:val="32"/>
          <w:szCs w:val="32"/>
        </w:rPr>
        <w:t>硫泡沫槽搅拌机电机</w:t>
      </w:r>
      <w:r>
        <w:rPr>
          <w:rFonts w:hint="eastAsia" w:eastAsia="仿宋_GB2312"/>
          <w:sz w:val="32"/>
          <w:szCs w:val="32"/>
        </w:rPr>
        <w:t>润滑</w:t>
      </w:r>
      <w:r>
        <w:rPr>
          <w:rFonts w:eastAsia="仿宋_GB2312"/>
          <w:sz w:val="32"/>
          <w:szCs w:val="32"/>
        </w:rPr>
        <w:t>保养工作调整至下午。下午14</w:t>
      </w:r>
      <w:r>
        <w:rPr>
          <w:rFonts w:hint="eastAsia" w:eastAsia="仿宋_GB2312"/>
          <w:sz w:val="32"/>
          <w:szCs w:val="32"/>
        </w:rPr>
        <w:t>：</w:t>
      </w:r>
      <w:r>
        <w:rPr>
          <w:rFonts w:eastAsia="仿宋_GB2312"/>
          <w:sz w:val="32"/>
          <w:szCs w:val="32"/>
        </w:rPr>
        <w:t>00</w:t>
      </w:r>
      <w:r>
        <w:rPr>
          <w:rFonts w:hint="eastAsia" w:eastAsia="仿宋_GB2312"/>
          <w:sz w:val="32"/>
          <w:szCs w:val="32"/>
        </w:rPr>
        <w:t>包片电工</w:t>
      </w:r>
      <w:r>
        <w:rPr>
          <w:rFonts w:eastAsia="仿宋_GB2312"/>
          <w:sz w:val="32"/>
          <w:szCs w:val="32"/>
        </w:rPr>
        <w:t>杨杰办理了变电站第二种工作票及能量隔离方案，</w:t>
      </w:r>
      <w:r>
        <w:rPr>
          <w:rFonts w:hint="eastAsia" w:eastAsia="仿宋_GB2312"/>
          <w:sz w:val="32"/>
          <w:szCs w:val="32"/>
        </w:rPr>
        <w:t>经过电工班长许云岗审批后</w:t>
      </w:r>
      <w:r>
        <w:rPr>
          <w:rFonts w:eastAsia="仿宋_GB2312"/>
          <w:sz w:val="32"/>
          <w:szCs w:val="32"/>
        </w:rPr>
        <w:t>开始作业。</w:t>
      </w:r>
    </w:p>
    <w:p w14:paraId="4CCA0EB0">
      <w:pPr>
        <w:spacing w:line="560" w:lineRule="exact"/>
        <w:ind w:firstLine="640" w:firstLineChars="200"/>
        <w:rPr>
          <w:rFonts w:eastAsia="仿宋_GB2312"/>
          <w:sz w:val="32"/>
          <w:szCs w:val="32"/>
        </w:rPr>
      </w:pPr>
      <w:r>
        <w:rPr>
          <w:rFonts w:eastAsia="仿宋_GB2312"/>
          <w:sz w:val="32"/>
          <w:szCs w:val="32"/>
        </w:rPr>
        <w:t>17</w:t>
      </w:r>
      <w:r>
        <w:rPr>
          <w:rFonts w:hint="eastAsia" w:eastAsia="仿宋_GB2312"/>
          <w:sz w:val="32"/>
          <w:szCs w:val="32"/>
        </w:rPr>
        <w:t>：</w:t>
      </w:r>
      <w:r>
        <w:rPr>
          <w:rFonts w:eastAsia="仿宋_GB2312"/>
          <w:sz w:val="32"/>
          <w:szCs w:val="32"/>
        </w:rPr>
        <w:t>20分左右，杨杰、师锦涛和文小中在脱硫工段三层平台2</w:t>
      </w:r>
      <w:r>
        <w:rPr>
          <w:rFonts w:eastAsia="仿宋_GB2312"/>
          <w:sz w:val="32"/>
          <w:szCs w:val="32"/>
          <w:vertAlign w:val="superscript"/>
        </w:rPr>
        <w:t>#</w:t>
      </w:r>
      <w:r>
        <w:rPr>
          <w:rFonts w:eastAsia="仿宋_GB2312"/>
          <w:sz w:val="32"/>
          <w:szCs w:val="32"/>
        </w:rPr>
        <w:t>硫泡沫槽顶东南侧（泡沫槽顶部距三层平台约1.2米），对2</w:t>
      </w:r>
      <w:r>
        <w:rPr>
          <w:rFonts w:eastAsia="仿宋_GB2312"/>
          <w:sz w:val="32"/>
          <w:szCs w:val="32"/>
          <w:vertAlign w:val="superscript"/>
        </w:rPr>
        <w:t>#</w:t>
      </w:r>
      <w:r>
        <w:rPr>
          <w:rFonts w:eastAsia="仿宋_GB2312"/>
          <w:sz w:val="32"/>
          <w:szCs w:val="32"/>
        </w:rPr>
        <w:t>硫泡沫槽顶搅拌机电机润滑保养完成后，回装</w:t>
      </w:r>
      <w:r>
        <w:rPr>
          <w:rFonts w:hint="eastAsia" w:eastAsia="仿宋_GB2312"/>
          <w:sz w:val="32"/>
          <w:szCs w:val="32"/>
        </w:rPr>
        <w:t>搅拌机电机</w:t>
      </w:r>
      <w:r>
        <w:rPr>
          <w:rFonts w:eastAsia="仿宋_GB2312"/>
          <w:sz w:val="32"/>
          <w:szCs w:val="32"/>
        </w:rPr>
        <w:t>过程中</w:t>
      </w:r>
      <w:r>
        <w:rPr>
          <w:rFonts w:hint="eastAsia" w:eastAsia="仿宋_GB2312"/>
          <w:sz w:val="32"/>
          <w:szCs w:val="32"/>
        </w:rPr>
        <w:t>，</w:t>
      </w:r>
      <w:r>
        <w:rPr>
          <w:rFonts w:eastAsia="仿宋_GB2312"/>
          <w:sz w:val="32"/>
          <w:szCs w:val="32"/>
        </w:rPr>
        <w:t>杨杰听到</w:t>
      </w:r>
      <w:r>
        <w:rPr>
          <w:rFonts w:hint="eastAsia" w:eastAsia="仿宋_GB2312"/>
          <w:sz w:val="32"/>
          <w:szCs w:val="32"/>
        </w:rPr>
        <w:t>声响</w:t>
      </w:r>
      <w:r>
        <w:rPr>
          <w:rFonts w:eastAsia="仿宋_GB2312"/>
          <w:sz w:val="32"/>
          <w:szCs w:val="32"/>
        </w:rPr>
        <w:t>，</w:t>
      </w:r>
      <w:r>
        <w:rPr>
          <w:rFonts w:hint="eastAsia" w:eastAsia="仿宋_GB2312"/>
          <w:sz w:val="32"/>
          <w:szCs w:val="32"/>
        </w:rPr>
        <w:t>转身看到</w:t>
      </w:r>
      <w:r>
        <w:rPr>
          <w:rFonts w:eastAsia="仿宋_GB2312"/>
          <w:sz w:val="32"/>
          <w:szCs w:val="32"/>
        </w:rPr>
        <w:t>2</w:t>
      </w:r>
      <w:r>
        <w:rPr>
          <w:rFonts w:eastAsia="仿宋_GB2312"/>
          <w:sz w:val="32"/>
          <w:szCs w:val="32"/>
          <w:vertAlign w:val="superscript"/>
        </w:rPr>
        <w:t>#</w:t>
      </w:r>
      <w:r>
        <w:rPr>
          <w:rFonts w:eastAsia="仿宋_GB2312"/>
          <w:sz w:val="32"/>
          <w:szCs w:val="32"/>
        </w:rPr>
        <w:t>硫泡沫槽顶</w:t>
      </w:r>
      <w:r>
        <w:rPr>
          <w:rFonts w:hint="eastAsia" w:eastAsia="仿宋_GB2312"/>
          <w:sz w:val="32"/>
          <w:szCs w:val="32"/>
        </w:rPr>
        <w:t>北侧硫泡沫进口管道处有孔洞，未看见文小中。立即到孔洞处查看，发现文小中掉落至硫泡沫槽内</w:t>
      </w:r>
      <w:r>
        <w:rPr>
          <w:rFonts w:eastAsia="仿宋_GB2312"/>
          <w:sz w:val="32"/>
          <w:szCs w:val="32"/>
        </w:rPr>
        <w:t>。杨杰随即拿起现场</w:t>
      </w:r>
      <w:r>
        <w:rPr>
          <w:rFonts w:hint="eastAsia" w:eastAsia="仿宋_GB2312"/>
          <w:sz w:val="32"/>
          <w:szCs w:val="32"/>
        </w:rPr>
        <w:t>橡胶</w:t>
      </w:r>
      <w:r>
        <w:rPr>
          <w:rFonts w:eastAsia="仿宋_GB2312"/>
          <w:sz w:val="32"/>
          <w:szCs w:val="32"/>
        </w:rPr>
        <w:t>管伸入泡沫槽内</w:t>
      </w:r>
      <w:r>
        <w:rPr>
          <w:rFonts w:hint="eastAsia" w:eastAsia="仿宋_GB2312"/>
          <w:sz w:val="32"/>
          <w:szCs w:val="32"/>
        </w:rPr>
        <w:t>进行</w:t>
      </w:r>
      <w:r>
        <w:rPr>
          <w:rFonts w:eastAsia="仿宋_GB2312"/>
          <w:sz w:val="32"/>
          <w:szCs w:val="32"/>
        </w:rPr>
        <w:t>救援，</w:t>
      </w:r>
      <w:r>
        <w:rPr>
          <w:rFonts w:hint="eastAsia" w:eastAsia="仿宋_GB2312"/>
          <w:sz w:val="32"/>
          <w:szCs w:val="32"/>
        </w:rPr>
        <w:t>看到文小中手已抓住橡胶管，</w:t>
      </w:r>
      <w:r>
        <w:rPr>
          <w:rFonts w:eastAsia="仿宋_GB2312"/>
          <w:sz w:val="32"/>
          <w:szCs w:val="32"/>
        </w:rPr>
        <w:t>杨杰、师锦涛</w:t>
      </w:r>
      <w:r>
        <w:rPr>
          <w:rFonts w:hint="eastAsia" w:eastAsia="仿宋_GB2312"/>
          <w:sz w:val="32"/>
          <w:szCs w:val="32"/>
        </w:rPr>
        <w:t>二人合力往上拉，在上拉到已经露出头部和胸部时，但因文小中全身沾满硫泡沫，又滑落下去，发生中毒、淹溺事故。</w:t>
      </w:r>
    </w:p>
    <w:p w14:paraId="11A7FF0E">
      <w:pPr>
        <w:pStyle w:val="4"/>
        <w:spacing w:before="0" w:beforeAutospacing="0" w:after="0" w:afterAutospacing="0" w:line="560" w:lineRule="exact"/>
        <w:ind w:firstLine="640" w:firstLineChars="200"/>
        <w:rPr>
          <w:rFonts w:hint="default" w:ascii="楷体_GB2312" w:hAnsi="楷体_GB2312" w:eastAsia="楷体_GB2312" w:cs="楷体_GB2312"/>
          <w:b w:val="0"/>
          <w:bCs w:val="0"/>
          <w:sz w:val="32"/>
          <w:szCs w:val="32"/>
        </w:rPr>
      </w:pPr>
      <w:bookmarkStart w:id="37" w:name="_Toc11180"/>
      <w:r>
        <w:rPr>
          <w:rFonts w:ascii="楷体_GB2312" w:hAnsi="楷体_GB2312" w:eastAsia="楷体_GB2312" w:cs="楷体_GB2312"/>
          <w:b w:val="0"/>
          <w:bCs w:val="0"/>
          <w:sz w:val="32"/>
          <w:szCs w:val="32"/>
        </w:rPr>
        <w:t>（四）事故现场情况</w:t>
      </w:r>
      <w:bookmarkEnd w:id="37"/>
      <w:r>
        <w:rPr>
          <w:rFonts w:ascii="楷体_GB2312" w:hAnsi="楷体_GB2312" w:eastAsia="楷体_GB2312" w:cs="楷体_GB2312"/>
          <w:b w:val="0"/>
          <w:bCs w:val="0"/>
          <w:sz w:val="32"/>
          <w:szCs w:val="32"/>
        </w:rPr>
        <w:tab/>
      </w:r>
    </w:p>
    <w:p w14:paraId="1DB7D658">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kern w:val="2"/>
          <w:sz w:val="32"/>
          <w:szCs w:val="32"/>
        </w:rPr>
        <w:t>1.</w:t>
      </w:r>
      <w:r>
        <w:rPr>
          <w:rFonts w:ascii="楷体_GB2312" w:hAnsi="楷体_GB2312" w:eastAsia="楷体_GB2312" w:cs="楷体_GB2312"/>
          <w:sz w:val="32"/>
          <w:szCs w:val="32"/>
        </w:rPr>
        <w:t>事故现场勘验情况</w:t>
      </w:r>
      <w:bookmarkEnd w:id="36"/>
    </w:p>
    <w:p w14:paraId="72880041">
      <w:pPr>
        <w:spacing w:line="560" w:lineRule="exact"/>
        <w:ind w:firstLine="640" w:firstLineChars="200"/>
        <w:rPr>
          <w:rFonts w:ascii="仿宋_GB2312" w:hAnsi="仿宋_GB2312" w:eastAsia="仿宋_GB2312" w:cs="仿宋_GB2312"/>
          <w:sz w:val="32"/>
          <w:szCs w:val="32"/>
        </w:rPr>
      </w:pPr>
      <w:bookmarkStart w:id="38" w:name="_Toc160611372"/>
      <w:bookmarkStart w:id="39" w:name="_Toc24291"/>
      <w:r>
        <w:rPr>
          <w:rFonts w:hint="eastAsia" w:ascii="仿宋_GB2312" w:hAnsi="仿宋_GB2312" w:eastAsia="仿宋_GB2312" w:cs="仿宋_GB2312"/>
          <w:sz w:val="32"/>
          <w:szCs w:val="32"/>
        </w:rPr>
        <w:t>经对脱落的不锈钢板进行复位实验，勘验结论如下：</w:t>
      </w:r>
    </w:p>
    <w:p w14:paraId="63A708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①不锈钢板表面未见腐蚀，不锈钢板尺寸60*90cm与孔洞尺寸一致。不锈钢板边缘焊接处有撕裂痕迹。</w:t>
      </w:r>
    </w:p>
    <w:p w14:paraId="53BAEB9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②2013年4月改造时该块钢板仅对六个支撑点及周边连接处进行了点焊，焊接效果存在未满焊，焊接不到位的问题。</w:t>
      </w:r>
    </w:p>
    <w:p w14:paraId="51AC37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③2013年4月改造以来焊点存在明显腐蚀锈蚀。</w:t>
      </w:r>
    </w:p>
    <w:p w14:paraId="252AFE0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④因进料管道变形移位产生应力影响了焊点的牢固性与该钢板的稳定性。</w:t>
      </w:r>
    </w:p>
    <w:p w14:paraId="3E4A5BAE">
      <w:pPr>
        <w:spacing w:line="560" w:lineRule="exact"/>
        <w:ind w:firstLine="420" w:firstLineChars="200"/>
        <w:rPr>
          <w:rFonts w:ascii="仿宋_GB2312" w:hAnsi="仿宋_GB2312" w:eastAsia="仿宋_GB2312" w:cs="仿宋_GB2312"/>
          <w:sz w:val="32"/>
          <w:szCs w:val="32"/>
        </w:rPr>
      </w:pPr>
      <w:r>
        <w:rPr>
          <w:rFonts w:hint="eastAsia"/>
        </w:rPr>
        <w:drawing>
          <wp:anchor distT="0" distB="0" distL="114300" distR="114300" simplePos="0" relativeHeight="251667456" behindDoc="0" locked="0" layoutInCell="1" allowOverlap="1">
            <wp:simplePos x="0" y="0"/>
            <wp:positionH relativeFrom="column">
              <wp:posOffset>617855</wp:posOffset>
            </wp:positionH>
            <wp:positionV relativeFrom="page">
              <wp:posOffset>3030855</wp:posOffset>
            </wp:positionV>
            <wp:extent cx="4398010" cy="2651125"/>
            <wp:effectExtent l="0" t="0" r="2540" b="15875"/>
            <wp:wrapTopAndBottom/>
            <wp:docPr id="4" name="图片 4" descr="a1d1c5140a741bc6f277b137dd0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1d1c5140a741bc6f277b137dd03870"/>
                    <pic:cNvPicPr>
                      <a:picLocks noChangeAspect="1"/>
                    </pic:cNvPicPr>
                  </pic:nvPicPr>
                  <pic:blipFill>
                    <a:blip r:embed="rId7"/>
                    <a:stretch>
                      <a:fillRect/>
                    </a:stretch>
                  </pic:blipFill>
                  <pic:spPr>
                    <a:xfrm>
                      <a:off x="0" y="0"/>
                      <a:ext cx="4398010" cy="2651125"/>
                    </a:xfrm>
                    <a:prstGeom prst="rect">
                      <a:avLst/>
                    </a:prstGeom>
                  </pic:spPr>
                </pic:pic>
              </a:graphicData>
            </a:graphic>
          </wp:anchor>
        </w:drawing>
      </w:r>
      <w:r>
        <w:rPr>
          <w:rFonts w:hint="eastAsia" w:ascii="仿宋_GB2312" w:hAnsi="仿宋_GB2312" w:eastAsia="仿宋_GB2312" w:cs="仿宋_GB2312"/>
          <w:sz w:val="32"/>
          <w:szCs w:val="32"/>
        </w:rPr>
        <w:t>⑤搅拌电机润滑保养维护人员作业前未辨识出进料口焊接钢板存在的安全风险，未排查出该不锈钢板存在的以上隐患，人员在作业过程中踩踏到该不锈钢板后造成脱落，作业人员与不锈钢板同时跌入槽内。</w:t>
      </w:r>
    </w:p>
    <w:p w14:paraId="45C23D16">
      <w:pPr>
        <w:pStyle w:val="18"/>
        <w:widowControl w:val="0"/>
        <w:adjustRightInd w:val="0"/>
        <w:snapToGrid w:val="0"/>
        <w:spacing w:before="156" w:beforeLines="50" w:beforeAutospacing="0" w:after="0" w:afterAutospacing="0" w:line="360" w:lineRule="auto"/>
        <w:jc w:val="center"/>
        <w:rPr>
          <w:rFonts w:ascii="黑体" w:hAnsi="黑体" w:eastAsia="黑体" w:cs="黑体"/>
        </w:rPr>
      </w:pPr>
      <w:r>
        <w:rPr>
          <w:rFonts w:hint="eastAsia" w:ascii="黑体" w:hAnsi="黑体" w:eastAsia="黑体" w:cs="黑体"/>
        </w:rPr>
        <w:t>图1  事故现场化产装置区脱硫工段三层厂房</w:t>
      </w:r>
    </w:p>
    <w:p w14:paraId="7C71251F">
      <w:pPr>
        <w:spacing w:before="156" w:beforeLines="50" w:line="360" w:lineRule="auto"/>
        <w:jc w:val="center"/>
        <w:rPr>
          <w:rFonts w:ascii="黑体" w:hAnsi="黑体" w:eastAsia="黑体" w:cs="黑体"/>
          <w:sz w:val="24"/>
        </w:rPr>
      </w:pPr>
      <w:r>
        <w:rPr>
          <w:rFonts w:hint="eastAsia" w:ascii="黑体" w:hAnsi="黑体" w:eastAsia="黑体" w:cs="黑体"/>
          <w:sz w:val="24"/>
        </w:rPr>
        <w:drawing>
          <wp:anchor distT="0" distB="0" distL="114300" distR="114300" simplePos="0" relativeHeight="251666432" behindDoc="0" locked="0" layoutInCell="1" allowOverlap="1">
            <wp:simplePos x="0" y="0"/>
            <wp:positionH relativeFrom="column">
              <wp:posOffset>624840</wp:posOffset>
            </wp:positionH>
            <wp:positionV relativeFrom="paragraph">
              <wp:posOffset>57785</wp:posOffset>
            </wp:positionV>
            <wp:extent cx="4388485" cy="2940685"/>
            <wp:effectExtent l="0" t="0" r="12065" b="1206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388485" cy="2940685"/>
                    </a:xfrm>
                    <a:prstGeom prst="rect">
                      <a:avLst/>
                    </a:prstGeom>
                    <a:noFill/>
                    <a:ln>
                      <a:noFill/>
                    </a:ln>
                  </pic:spPr>
                </pic:pic>
              </a:graphicData>
            </a:graphic>
          </wp:anchor>
        </w:drawing>
      </w:r>
      <w:r>
        <w:rPr>
          <w:rFonts w:hint="eastAsia" w:ascii="黑体" w:hAnsi="黑体" w:eastAsia="黑体" w:cs="黑体"/>
          <w:sz w:val="24"/>
        </w:rPr>
        <w:t>图2  脱硫工段厂房三层平台事发2#硫泡沫槽顶部照片</w:t>
      </w:r>
    </w:p>
    <w:p w14:paraId="36DFAF05"/>
    <w:p w14:paraId="3DC43A42">
      <w:pPr>
        <w:tabs>
          <w:tab w:val="left" w:pos="8090"/>
        </w:tabs>
        <w:jc w:val="center"/>
      </w:pPr>
      <w:r>
        <w:drawing>
          <wp:inline distT="0" distB="0" distL="114300" distR="114300">
            <wp:extent cx="4384040" cy="3488690"/>
            <wp:effectExtent l="0" t="0" r="508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4384040" cy="3488690"/>
                    </a:xfrm>
                    <a:prstGeom prst="rect">
                      <a:avLst/>
                    </a:prstGeom>
                    <a:noFill/>
                    <a:ln>
                      <a:noFill/>
                    </a:ln>
                  </pic:spPr>
                </pic:pic>
              </a:graphicData>
            </a:graphic>
          </wp:inline>
        </w:drawing>
      </w:r>
    </w:p>
    <w:p w14:paraId="6D7D62DB">
      <w:pPr>
        <w:spacing w:before="156" w:beforeLines="50" w:after="312" w:afterLines="100"/>
        <w:jc w:val="center"/>
      </w:pPr>
      <w:r>
        <w:rPr>
          <w:rFonts w:hint="eastAsia" w:ascii="黑体" w:hAnsi="黑体" w:eastAsia="黑体" w:cs="黑体"/>
          <w:sz w:val="24"/>
        </w:rPr>
        <w:t>图3  2#硫泡沫槽顶部人员作业位置及跌落位置照片</w:t>
      </w:r>
    </w:p>
    <w:p w14:paraId="22C1E088">
      <w:pPr>
        <w:adjustRightInd w:val="0"/>
        <w:snapToGrid w:val="0"/>
        <w:jc w:val="center"/>
        <w:rPr>
          <w:rFonts w:ascii="黑体" w:hAnsi="黑体" w:eastAsia="黑体" w:cs="黑体"/>
          <w:sz w:val="24"/>
        </w:rPr>
      </w:pPr>
      <w:r>
        <w:drawing>
          <wp:inline distT="0" distB="0" distL="114300" distR="114300">
            <wp:extent cx="4348480" cy="3669030"/>
            <wp:effectExtent l="0" t="0" r="1016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4348480" cy="3669030"/>
                    </a:xfrm>
                    <a:prstGeom prst="rect">
                      <a:avLst/>
                    </a:prstGeom>
                    <a:noFill/>
                    <a:ln>
                      <a:noFill/>
                    </a:ln>
                  </pic:spPr>
                </pic:pic>
              </a:graphicData>
            </a:graphic>
          </wp:inline>
        </w:drawing>
      </w:r>
    </w:p>
    <w:p w14:paraId="62D20CF1">
      <w:pPr>
        <w:spacing w:before="156" w:beforeLines="50" w:after="156" w:afterLines="50"/>
        <w:jc w:val="center"/>
        <w:rPr>
          <w:rFonts w:eastAsia="黑体"/>
        </w:rPr>
      </w:pPr>
      <w:r>
        <w:rPr>
          <w:rFonts w:hint="eastAsia" w:ascii="黑体" w:hAnsi="黑体" w:eastAsia="黑体" w:cs="黑体"/>
          <w:sz w:val="24"/>
        </w:rPr>
        <w:t>图4  事发2#硫泡沫槽内部照片</w:t>
      </w:r>
    </w:p>
    <w:p w14:paraId="15C5E2A8">
      <w:pPr>
        <w:jc w:val="center"/>
      </w:pPr>
      <w:r>
        <mc:AlternateContent>
          <mc:Choice Requires="wps">
            <w:drawing>
              <wp:anchor distT="0" distB="0" distL="114300" distR="114300" simplePos="0" relativeHeight="251662336" behindDoc="0" locked="0" layoutInCell="1" allowOverlap="1">
                <wp:simplePos x="0" y="0"/>
                <wp:positionH relativeFrom="column">
                  <wp:posOffset>996950</wp:posOffset>
                </wp:positionH>
                <wp:positionV relativeFrom="paragraph">
                  <wp:posOffset>1802765</wp:posOffset>
                </wp:positionV>
                <wp:extent cx="838200" cy="320040"/>
                <wp:effectExtent l="0" t="0" r="0" b="304800"/>
                <wp:wrapNone/>
                <wp:docPr id="11" name="AutoShape 15"/>
                <wp:cNvGraphicFramePr/>
                <a:graphic xmlns:a="http://schemas.openxmlformats.org/drawingml/2006/main">
                  <a:graphicData uri="http://schemas.microsoft.com/office/word/2010/wordprocessingShape">
                    <wps:wsp>
                      <wps:cNvSpPr/>
                      <wps:spPr>
                        <a:xfrm>
                          <a:off x="0" y="0"/>
                          <a:ext cx="838200" cy="320040"/>
                        </a:xfrm>
                        <a:prstGeom prst="wedgeRoundRectCallout">
                          <a:avLst>
                            <a:gd name="adj1" fmla="val 39318"/>
                            <a:gd name="adj2" fmla="val 143253"/>
                            <a:gd name="adj3" fmla="val 16667"/>
                          </a:avLst>
                        </a:prstGeom>
                        <a:solidFill>
                          <a:srgbClr val="4F81BD"/>
                        </a:solidFill>
                        <a:ln w="12700">
                          <a:noFill/>
                        </a:ln>
                      </wps:spPr>
                      <wps:txbx>
                        <w:txbxContent>
                          <w:p w14:paraId="62F35D5C">
                            <w:pPr>
                              <w:pStyle w:val="18"/>
                              <w:spacing w:before="0" w:after="0"/>
                              <w:textAlignment w:val="baseline"/>
                            </w:pPr>
                            <w:r>
                              <w:rPr>
                                <w:rFonts w:hint="eastAsia" w:ascii="黑体" w:hAnsi="黑体" w:eastAsia="黑体" w:cs="黑体"/>
                                <w:b/>
                                <w:bCs/>
                              </w:rPr>
                              <w:t>受困人员</w:t>
                            </w:r>
                          </w:p>
                        </w:txbxContent>
                      </wps:txbx>
                      <wps:bodyPr wrap="square" lIns="90488" tIns="44450" rIns="90488" bIns="44450" anchor="t" anchorCtr="0"/>
                    </wps:wsp>
                  </a:graphicData>
                </a:graphic>
              </wp:anchor>
            </w:drawing>
          </mc:Choice>
          <mc:Fallback>
            <w:pict>
              <v:shape id="AutoShape 15" o:spid="_x0000_s1026" o:spt="62" type="#_x0000_t62" style="position:absolute;left:0pt;margin-left:78.5pt;margin-top:141.95pt;height:25.2pt;width:66pt;z-index:251662336;mso-width-relative:page;mso-height-relative:page;" fillcolor="#4F81BD" filled="t" stroked="f" coordsize="21600,21600" o:gfxdata="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7t8EbaAAAACwEA&#10;AA8AAAAAAAAAAQAgAAAAIgAAAGRycy9kb3ducmV2LnhtbFBLAQIUABQAAAAIAIdO4kALy2C2GAIA&#10;AE4EAAAOAAAAAAAAAAEAIAAAACkBAABkcnMvZTJvRG9jLnhtbFBLBQYAAAAABgAGAFkBAACzBQAA&#10;AAA=&#10;" adj="19293,41743,14400">
                <v:fill on="t" focussize="0,0"/>
                <v:stroke on="f" weight="1pt"/>
                <v:imagedata o:title=""/>
                <o:lock v:ext="edit" aspectratio="f"/>
                <v:textbox inset="0.0989588801399825in,3.5pt,0.0989588801399825in,3.5pt">
                  <w:txbxContent>
                    <w:p w14:paraId="62F35D5C">
                      <w:pPr>
                        <w:pStyle w:val="18"/>
                        <w:spacing w:before="0" w:after="0"/>
                        <w:textAlignment w:val="baseline"/>
                      </w:pPr>
                      <w:r>
                        <w:rPr>
                          <w:rFonts w:hint="eastAsia" w:ascii="黑体" w:hAnsi="黑体" w:eastAsia="黑体" w:cs="黑体"/>
                          <w:b/>
                          <w:bCs/>
                        </w:rPr>
                        <w:t>受困人员</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4068445</wp:posOffset>
                </wp:positionH>
                <wp:positionV relativeFrom="paragraph">
                  <wp:posOffset>777240</wp:posOffset>
                </wp:positionV>
                <wp:extent cx="838200" cy="320040"/>
                <wp:effectExtent l="0" t="0" r="0" b="304800"/>
                <wp:wrapNone/>
                <wp:docPr id="10" name="AutoShape 15"/>
                <wp:cNvGraphicFramePr/>
                <a:graphic xmlns:a="http://schemas.openxmlformats.org/drawingml/2006/main">
                  <a:graphicData uri="http://schemas.microsoft.com/office/word/2010/wordprocessingShape">
                    <wps:wsp>
                      <wps:cNvSpPr/>
                      <wps:spPr>
                        <a:xfrm>
                          <a:off x="0" y="0"/>
                          <a:ext cx="838200" cy="320040"/>
                        </a:xfrm>
                        <a:prstGeom prst="wedgeRoundRectCallout">
                          <a:avLst>
                            <a:gd name="adj1" fmla="val -45303"/>
                            <a:gd name="adj2" fmla="val 145039"/>
                            <a:gd name="adj3" fmla="val 16667"/>
                          </a:avLst>
                        </a:prstGeom>
                        <a:solidFill>
                          <a:srgbClr val="4F81BD"/>
                        </a:solidFill>
                        <a:ln w="12700">
                          <a:noFill/>
                        </a:ln>
                      </wps:spPr>
                      <wps:txbx>
                        <w:txbxContent>
                          <w:p w14:paraId="42ACAAB2">
                            <w:pPr>
                              <w:pStyle w:val="18"/>
                              <w:spacing w:before="0" w:after="0"/>
                              <w:textAlignment w:val="baseline"/>
                              <w:rPr>
                                <w:b/>
                                <w:bCs/>
                              </w:rPr>
                            </w:pPr>
                            <w:r>
                              <w:rPr>
                                <w:rFonts w:hint="eastAsia" w:ascii="黑体" w:hAnsi="黑体" w:eastAsia="黑体" w:cs="黑体"/>
                                <w:b/>
                                <w:bCs/>
                              </w:rPr>
                              <w:t>三楼平台</w:t>
                            </w:r>
                          </w:p>
                        </w:txbxContent>
                      </wps:txbx>
                      <wps:bodyPr wrap="square" lIns="90488" tIns="44450" rIns="90488" bIns="44450" anchor="t" anchorCtr="0"/>
                    </wps:wsp>
                  </a:graphicData>
                </a:graphic>
              </wp:anchor>
            </w:drawing>
          </mc:Choice>
          <mc:Fallback>
            <w:pict>
              <v:shape id="AutoShape 15" o:spid="_x0000_s1026" o:spt="62" type="#_x0000_t62" style="position:absolute;left:0pt;margin-left:320.35pt;margin-top:61.2pt;height:25.2pt;width:66pt;z-index:251661312;mso-width-relative:page;mso-height-relative:page;" fillcolor="#4F81BD" filled="t" stroked="f" coordsize="21600,21600" o:gfxdata="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c5n2gAAAAsB&#10;AAAPAAAAAAAAAAEAIAAAACIAAABkcnMvZG93bnJldi54bWxQSwECFAAUAAAACACHTuJAThSviRkC&#10;AABPBAAADgAAAAAAAAABACAAAAApAQAAZHJzL2Uyb0RvYy54bWxQSwUGAAAAAAYABgBZAQAAtAUA&#10;AAAA&#10;" adj="1015,42128,14400">
                <v:fill on="t" focussize="0,0"/>
                <v:stroke on="f" weight="1pt"/>
                <v:imagedata o:title=""/>
                <o:lock v:ext="edit" aspectratio="f"/>
                <v:textbox inset="0.0989588801399825in,3.5pt,0.0989588801399825in,3.5pt">
                  <w:txbxContent>
                    <w:p w14:paraId="42ACAAB2">
                      <w:pPr>
                        <w:pStyle w:val="18"/>
                        <w:spacing w:before="0" w:after="0"/>
                        <w:textAlignment w:val="baseline"/>
                        <w:rPr>
                          <w:b/>
                          <w:bCs/>
                        </w:rPr>
                      </w:pPr>
                      <w:r>
                        <w:rPr>
                          <w:rFonts w:hint="eastAsia" w:ascii="黑体" w:hAnsi="黑体" w:eastAsia="黑体" w:cs="黑体"/>
                          <w:b/>
                          <w:bCs/>
                        </w:rPr>
                        <w:t>三楼平台</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3218815</wp:posOffset>
                </wp:positionH>
                <wp:positionV relativeFrom="paragraph">
                  <wp:posOffset>1269365</wp:posOffset>
                </wp:positionV>
                <wp:extent cx="838200" cy="320040"/>
                <wp:effectExtent l="0" t="0" r="0" b="304800"/>
                <wp:wrapNone/>
                <wp:docPr id="3" name="AutoShape 15"/>
                <wp:cNvGraphicFramePr/>
                <a:graphic xmlns:a="http://schemas.openxmlformats.org/drawingml/2006/main">
                  <a:graphicData uri="http://schemas.microsoft.com/office/word/2010/wordprocessingShape">
                    <wps:wsp>
                      <wps:cNvSpPr/>
                      <wps:spPr>
                        <a:xfrm>
                          <a:off x="0" y="0"/>
                          <a:ext cx="838200" cy="320040"/>
                        </a:xfrm>
                        <a:prstGeom prst="wedgeRoundRectCallout">
                          <a:avLst>
                            <a:gd name="adj1" fmla="val -45303"/>
                            <a:gd name="adj2" fmla="val 145039"/>
                            <a:gd name="adj3" fmla="val 16667"/>
                          </a:avLst>
                        </a:prstGeom>
                        <a:solidFill>
                          <a:srgbClr val="4F81BD"/>
                        </a:solidFill>
                        <a:ln w="12700">
                          <a:noFill/>
                        </a:ln>
                      </wps:spPr>
                      <wps:txbx>
                        <w:txbxContent>
                          <w:p w14:paraId="07D3E2C4">
                            <w:pPr>
                              <w:pStyle w:val="18"/>
                              <w:spacing w:before="0" w:after="0"/>
                              <w:textAlignment w:val="baseline"/>
                            </w:pPr>
                            <w:r>
                              <w:rPr>
                                <w:rFonts w:hint="eastAsia" w:ascii="黑体" w:hAnsi="黑体" w:eastAsia="黑体" w:cs="黑体"/>
                                <w:b/>
                                <w:bCs/>
                              </w:rPr>
                              <w:t>救援人员</w:t>
                            </w:r>
                          </w:p>
                        </w:txbxContent>
                      </wps:txbx>
                      <wps:bodyPr wrap="square" lIns="90488" tIns="44450" rIns="90488" bIns="44450" anchor="t" anchorCtr="0"/>
                    </wps:wsp>
                  </a:graphicData>
                </a:graphic>
              </wp:anchor>
            </w:drawing>
          </mc:Choice>
          <mc:Fallback>
            <w:pict>
              <v:shape id="AutoShape 15" o:spid="_x0000_s1026" o:spt="62" type="#_x0000_t62" style="position:absolute;left:0pt;margin-left:253.45pt;margin-top:99.95pt;height:25.2pt;width:66pt;z-index:251660288;mso-width-relative:page;mso-height-relative:page;" fillcolor="#4F81BD" filled="t" stroked="f" coordsize="21600,21600" o:gfxdata="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WJwxNoAAAAL&#10;AQAADwAAAAAAAAABACAAAAAiAAAAZHJzL2Rvd25yZXYueG1sUEsBAhQAFAAAAAgAh07iQGK4XkIa&#10;AgAATgQAAA4AAAAAAAAAAQAgAAAAKQEAAGRycy9lMm9Eb2MueG1sUEsFBgAAAAAGAAYAWQEAALUF&#10;AAAAAA==&#10;" adj="1015,42128,14400">
                <v:fill on="t" focussize="0,0"/>
                <v:stroke on="f" weight="1pt"/>
                <v:imagedata o:title=""/>
                <o:lock v:ext="edit" aspectratio="f"/>
                <v:textbox inset="0.0989588801399825in,3.5pt,0.0989588801399825in,3.5pt">
                  <w:txbxContent>
                    <w:p w14:paraId="07D3E2C4">
                      <w:pPr>
                        <w:pStyle w:val="18"/>
                        <w:spacing w:before="0" w:after="0"/>
                        <w:textAlignment w:val="baseline"/>
                      </w:pPr>
                      <w:r>
                        <w:rPr>
                          <w:rFonts w:hint="eastAsia" w:ascii="黑体" w:hAnsi="黑体" w:eastAsia="黑体" w:cs="黑体"/>
                          <w:b/>
                          <w:bCs/>
                        </w:rPr>
                        <w:t>救援人员</w:t>
                      </w:r>
                    </w:p>
                  </w:txbxContent>
                </v:textbox>
              </v:shape>
            </w:pict>
          </mc:Fallback>
        </mc:AlternateContent>
      </w:r>
      <w:r>
        <w:drawing>
          <wp:inline distT="0" distB="0" distL="114300" distR="114300">
            <wp:extent cx="4224655" cy="4772025"/>
            <wp:effectExtent l="0" t="0" r="1206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1"/>
                    <a:stretch>
                      <a:fillRect/>
                    </a:stretch>
                  </pic:blipFill>
                  <pic:spPr>
                    <a:xfrm>
                      <a:off x="0" y="0"/>
                      <a:ext cx="4224655" cy="4772025"/>
                    </a:xfrm>
                    <a:prstGeom prst="rect">
                      <a:avLst/>
                    </a:prstGeom>
                    <a:noFill/>
                    <a:ln>
                      <a:noFill/>
                    </a:ln>
                  </pic:spPr>
                </pic:pic>
              </a:graphicData>
            </a:graphic>
          </wp:inline>
        </w:drawing>
      </w:r>
    </w:p>
    <w:p w14:paraId="376D4228">
      <w:pPr>
        <w:spacing w:after="312" w:afterLines="100"/>
        <w:jc w:val="center"/>
        <w:rPr>
          <w:rFonts w:ascii="黑体" w:hAnsi="黑体" w:eastAsia="黑体" w:cs="黑体"/>
          <w:sz w:val="24"/>
        </w:rPr>
      </w:pPr>
      <w:r>
        <w:rPr>
          <w:rFonts w:hint="eastAsia" w:ascii="黑体" w:hAnsi="黑体" w:eastAsia="黑体" w:cs="黑体"/>
          <w:sz w:val="24"/>
        </w:rPr>
        <w:t>图5  2#硫泡沫槽内应急救援示意图</w:t>
      </w:r>
    </w:p>
    <w:p w14:paraId="21609A7F">
      <w:pPr>
        <w:pStyle w:val="18"/>
        <w:adjustRightInd w:val="0"/>
        <w:spacing w:before="156" w:beforeLines="50" w:beforeAutospacing="0" w:after="0" w:afterAutospacing="0" w:line="360" w:lineRule="auto"/>
        <w:jc w:val="center"/>
        <w:rPr>
          <w:rFonts w:eastAsia="黑体"/>
        </w:rPr>
      </w:pPr>
      <w:r>
        <w:rPr>
          <w:rFonts w:hint="eastAsia"/>
          <w:sz w:val="28"/>
          <w:szCs w:val="28"/>
        </w:rPr>
        <w:drawing>
          <wp:anchor distT="0" distB="0" distL="114300" distR="114300" simplePos="0" relativeHeight="251663360" behindDoc="0" locked="0" layoutInCell="1" allowOverlap="1">
            <wp:simplePos x="0" y="0"/>
            <wp:positionH relativeFrom="column">
              <wp:posOffset>701675</wp:posOffset>
            </wp:positionH>
            <wp:positionV relativeFrom="paragraph">
              <wp:posOffset>46355</wp:posOffset>
            </wp:positionV>
            <wp:extent cx="4206875" cy="2306955"/>
            <wp:effectExtent l="0" t="0" r="14605" b="9525"/>
            <wp:wrapTopAndBottom/>
            <wp:docPr id="35" name="图片 35" descr="ca0f816360b536193b51cf3060c7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a0f816360b536193b51cf3060c79bc"/>
                    <pic:cNvPicPr>
                      <a:picLocks noChangeAspect="1"/>
                    </pic:cNvPicPr>
                  </pic:nvPicPr>
                  <pic:blipFill>
                    <a:blip r:embed="rId12"/>
                    <a:stretch>
                      <a:fillRect/>
                    </a:stretch>
                  </pic:blipFill>
                  <pic:spPr>
                    <a:xfrm>
                      <a:off x="0" y="0"/>
                      <a:ext cx="4206875" cy="2306955"/>
                    </a:xfrm>
                    <a:prstGeom prst="rect">
                      <a:avLst/>
                    </a:prstGeom>
                  </pic:spPr>
                </pic:pic>
              </a:graphicData>
            </a:graphic>
          </wp:anchor>
        </w:drawing>
      </w:r>
      <w:r>
        <w:rPr>
          <w:rFonts w:hint="eastAsia" w:ascii="黑体" w:hAnsi="黑体" w:eastAsia="黑体" w:cs="黑体"/>
        </w:rPr>
        <w:t>图6  脱落到2</w:t>
      </w:r>
      <w:r>
        <w:rPr>
          <w:rFonts w:hint="eastAsia" w:ascii="黑体" w:hAnsi="黑体" w:eastAsia="黑体" w:cs="黑体"/>
          <w:vertAlign w:val="superscript"/>
        </w:rPr>
        <w:t>#</w:t>
      </w:r>
      <w:r>
        <w:rPr>
          <w:rFonts w:hint="eastAsia" w:ascii="黑体" w:hAnsi="黑体" w:eastAsia="黑体" w:cs="黑体"/>
        </w:rPr>
        <w:t>硫泡沫槽内的不锈钢顶板</w:t>
      </w:r>
    </w:p>
    <w:p w14:paraId="0EB9348D">
      <w:pPr>
        <w:tabs>
          <w:tab w:val="left" w:pos="420"/>
        </w:tabs>
        <w:spacing w:after="156" w:afterLines="50" w:line="560" w:lineRule="exact"/>
        <w:jc w:val="center"/>
        <w:rPr>
          <w:rFonts w:ascii="黑体" w:hAnsi="黑体" w:eastAsia="黑体" w:cs="黑体"/>
          <w:sz w:val="24"/>
        </w:rPr>
      </w:pPr>
      <w:r>
        <w:rPr>
          <w:rFonts w:hint="eastAsia"/>
          <w:sz w:val="28"/>
          <w:szCs w:val="28"/>
        </w:rPr>
        <w:drawing>
          <wp:anchor distT="0" distB="0" distL="114300" distR="114300" simplePos="0" relativeHeight="251664384" behindDoc="0" locked="0" layoutInCell="1" allowOverlap="1">
            <wp:simplePos x="0" y="0"/>
            <wp:positionH relativeFrom="column">
              <wp:posOffset>591185</wp:posOffset>
            </wp:positionH>
            <wp:positionV relativeFrom="paragraph">
              <wp:posOffset>119380</wp:posOffset>
            </wp:positionV>
            <wp:extent cx="4383405" cy="2278380"/>
            <wp:effectExtent l="0" t="0" r="5715" b="7620"/>
            <wp:wrapTopAndBottom/>
            <wp:docPr id="21" name="图片 21" descr="08074ddafcc123d47d69054e07d2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8074ddafcc123d47d69054e07d2cb4"/>
                    <pic:cNvPicPr>
                      <a:picLocks noChangeAspect="1"/>
                    </pic:cNvPicPr>
                  </pic:nvPicPr>
                  <pic:blipFill>
                    <a:blip r:embed="rId13"/>
                    <a:stretch>
                      <a:fillRect/>
                    </a:stretch>
                  </pic:blipFill>
                  <pic:spPr>
                    <a:xfrm>
                      <a:off x="0" y="0"/>
                      <a:ext cx="4383405" cy="2278380"/>
                    </a:xfrm>
                    <a:prstGeom prst="rect">
                      <a:avLst/>
                    </a:prstGeom>
                  </pic:spPr>
                </pic:pic>
              </a:graphicData>
            </a:graphic>
          </wp:anchor>
        </w:drawing>
      </w:r>
      <w:r>
        <w:rPr>
          <w:rFonts w:hint="eastAsia" w:ascii="黑体" w:hAnsi="黑体" w:eastAsia="黑体" w:cs="黑体"/>
          <w:sz w:val="24"/>
        </w:rPr>
        <w:t>图7  打捞上来的原不锈钢顶板复位照片</w:t>
      </w:r>
    </w:p>
    <w:p w14:paraId="154EB18D">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drawing>
          <wp:anchor distT="0" distB="0" distL="114300" distR="114300" simplePos="0" relativeHeight="251665408" behindDoc="0" locked="0" layoutInCell="1" allowOverlap="1">
            <wp:simplePos x="0" y="0"/>
            <wp:positionH relativeFrom="column">
              <wp:posOffset>592455</wp:posOffset>
            </wp:positionH>
            <wp:positionV relativeFrom="paragraph">
              <wp:posOffset>32385</wp:posOffset>
            </wp:positionV>
            <wp:extent cx="4330700" cy="2066290"/>
            <wp:effectExtent l="0" t="0" r="12700" b="6350"/>
            <wp:wrapSquare wrapText="bothSides"/>
            <wp:docPr id="17" name="图片 17" descr="17240749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074934084"/>
                    <pic:cNvPicPr>
                      <a:picLocks noChangeAspect="1"/>
                    </pic:cNvPicPr>
                  </pic:nvPicPr>
                  <pic:blipFill>
                    <a:blip r:embed="rId14"/>
                    <a:stretch>
                      <a:fillRect/>
                    </a:stretch>
                  </pic:blipFill>
                  <pic:spPr>
                    <a:xfrm>
                      <a:off x="0" y="0"/>
                      <a:ext cx="4330700" cy="2066290"/>
                    </a:xfrm>
                    <a:prstGeom prst="rect">
                      <a:avLst/>
                    </a:prstGeom>
                  </pic:spPr>
                </pic:pic>
              </a:graphicData>
            </a:graphic>
          </wp:anchor>
        </w:drawing>
      </w:r>
    </w:p>
    <w:p w14:paraId="36655C81">
      <w:pPr>
        <w:spacing w:line="560" w:lineRule="exact"/>
        <w:ind w:firstLine="640" w:firstLineChars="200"/>
        <w:rPr>
          <w:rFonts w:ascii="楷体_GB2312" w:hAnsi="楷体_GB2312" w:eastAsia="楷体_GB2312" w:cs="楷体_GB2312"/>
          <w:kern w:val="2"/>
          <w:sz w:val="32"/>
          <w:szCs w:val="32"/>
        </w:rPr>
      </w:pPr>
    </w:p>
    <w:p w14:paraId="044A7DF4">
      <w:pPr>
        <w:spacing w:line="560" w:lineRule="exact"/>
        <w:ind w:firstLine="640" w:firstLineChars="200"/>
        <w:rPr>
          <w:rFonts w:ascii="楷体_GB2312" w:hAnsi="楷体_GB2312" w:eastAsia="楷体_GB2312" w:cs="楷体_GB2312"/>
          <w:kern w:val="2"/>
          <w:sz w:val="32"/>
          <w:szCs w:val="32"/>
        </w:rPr>
      </w:pPr>
    </w:p>
    <w:p w14:paraId="5F903D5B">
      <w:pPr>
        <w:spacing w:line="560" w:lineRule="exact"/>
        <w:ind w:firstLine="640" w:firstLineChars="200"/>
        <w:rPr>
          <w:rFonts w:ascii="楷体_GB2312" w:hAnsi="楷体_GB2312" w:eastAsia="楷体_GB2312" w:cs="楷体_GB2312"/>
          <w:kern w:val="2"/>
          <w:sz w:val="32"/>
          <w:szCs w:val="32"/>
        </w:rPr>
      </w:pPr>
    </w:p>
    <w:p w14:paraId="30484220">
      <w:pPr>
        <w:spacing w:line="560" w:lineRule="exact"/>
        <w:ind w:firstLine="640" w:firstLineChars="200"/>
        <w:rPr>
          <w:rFonts w:ascii="楷体_GB2312" w:hAnsi="楷体_GB2312" w:eastAsia="楷体_GB2312" w:cs="楷体_GB2312"/>
          <w:kern w:val="2"/>
          <w:sz w:val="32"/>
          <w:szCs w:val="32"/>
        </w:rPr>
      </w:pPr>
    </w:p>
    <w:p w14:paraId="6D8B75E7">
      <w:pPr>
        <w:spacing w:line="560" w:lineRule="exact"/>
        <w:ind w:firstLine="640" w:firstLineChars="200"/>
        <w:rPr>
          <w:rFonts w:ascii="楷体_GB2312" w:hAnsi="楷体_GB2312" w:eastAsia="楷体_GB2312" w:cs="楷体_GB2312"/>
          <w:kern w:val="2"/>
          <w:sz w:val="32"/>
          <w:szCs w:val="32"/>
        </w:rPr>
      </w:pPr>
    </w:p>
    <w:p w14:paraId="696132A1">
      <w:pPr>
        <w:adjustRightInd w:val="0"/>
        <w:snapToGrid w:val="0"/>
        <w:spacing w:before="156" w:beforeLines="50"/>
        <w:jc w:val="center"/>
        <w:rPr>
          <w:rFonts w:ascii="楷体_GB2312" w:hAnsi="楷体_GB2312" w:eastAsia="楷体_GB2312" w:cs="楷体_GB2312"/>
          <w:kern w:val="2"/>
          <w:sz w:val="32"/>
          <w:szCs w:val="32"/>
        </w:rPr>
      </w:pPr>
      <w:r>
        <w:rPr>
          <w:rFonts w:hint="eastAsia" w:ascii="黑体" w:hAnsi="黑体" w:eastAsia="黑体" w:cs="黑体"/>
          <w:sz w:val="24"/>
        </w:rPr>
        <w:t>图8  1</w:t>
      </w:r>
      <w:r>
        <w:rPr>
          <w:rFonts w:hint="eastAsia" w:ascii="黑体" w:hAnsi="黑体" w:eastAsia="黑体" w:cs="黑体"/>
          <w:sz w:val="24"/>
          <w:vertAlign w:val="superscript"/>
        </w:rPr>
        <w:t>#</w:t>
      </w:r>
      <w:r>
        <w:rPr>
          <w:rFonts w:hint="eastAsia" w:ascii="黑体" w:hAnsi="黑体" w:eastAsia="黑体" w:cs="黑体"/>
          <w:sz w:val="24"/>
        </w:rPr>
        <w:t>硫泡沫槽有毒有害气体分析照片</w:t>
      </w:r>
    </w:p>
    <w:p w14:paraId="19F5B8DB">
      <w:pPr>
        <w:adjustRightInd w:val="0"/>
        <w:snapToGrid w:val="0"/>
        <w:spacing w:before="156" w:beforeLines="50"/>
        <w:jc w:val="center"/>
        <w:rPr>
          <w:rFonts w:ascii="黑体" w:hAnsi="黑体" w:eastAsia="黑体" w:cs="黑体"/>
          <w:sz w:val="24"/>
        </w:rPr>
      </w:pPr>
      <w:r>
        <w:drawing>
          <wp:inline distT="0" distB="0" distL="114300" distR="114300">
            <wp:extent cx="4304030" cy="2501900"/>
            <wp:effectExtent l="0" t="0" r="889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4304030" cy="2501900"/>
                    </a:xfrm>
                    <a:prstGeom prst="rect">
                      <a:avLst/>
                    </a:prstGeom>
                    <a:noFill/>
                    <a:ln>
                      <a:noFill/>
                    </a:ln>
                  </pic:spPr>
                </pic:pic>
              </a:graphicData>
            </a:graphic>
          </wp:inline>
        </w:drawing>
      </w:r>
    </w:p>
    <w:p w14:paraId="296EF1E8">
      <w:pPr>
        <w:adjustRightInd w:val="0"/>
        <w:snapToGrid w:val="0"/>
        <w:spacing w:before="156" w:beforeLines="50"/>
        <w:jc w:val="center"/>
        <w:rPr>
          <w:rFonts w:ascii="楷体_GB2312" w:hAnsi="楷体_GB2312" w:eastAsia="楷体_GB2312" w:cs="楷体_GB2312"/>
          <w:kern w:val="2"/>
          <w:sz w:val="32"/>
          <w:szCs w:val="32"/>
        </w:rPr>
      </w:pPr>
      <w:r>
        <w:rPr>
          <w:rFonts w:hint="eastAsia" w:ascii="黑体" w:hAnsi="黑体" w:eastAsia="黑体" w:cs="黑体"/>
          <w:sz w:val="24"/>
        </w:rPr>
        <w:t>图9  硫泡沫槽内存放的硫泡沫照片</w:t>
      </w:r>
    </w:p>
    <w:p w14:paraId="44878FFD">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w:t>
      </w:r>
      <w:bookmarkEnd w:id="38"/>
      <w:bookmarkStart w:id="40" w:name="_Toc28934"/>
      <w:bookmarkStart w:id="41" w:name="_Toc10587"/>
      <w:bookmarkStart w:id="42" w:name="_Toc26719"/>
      <w:bookmarkStart w:id="43" w:name="_Toc29914"/>
      <w:bookmarkStart w:id="44" w:name="_Toc27776"/>
      <w:bookmarkStart w:id="45" w:name="_Toc1236"/>
      <w:bookmarkStart w:id="46" w:name="_Toc25970"/>
      <w:bookmarkStart w:id="47" w:name="_Toc2161"/>
      <w:bookmarkStart w:id="48" w:name="_Toc21089"/>
      <w:bookmarkStart w:id="49" w:name="_Toc10420"/>
      <w:r>
        <w:rPr>
          <w:rFonts w:hint="eastAsia" w:ascii="楷体_GB2312" w:hAnsi="楷体_GB2312" w:eastAsia="楷体_GB2312" w:cs="楷体_GB2312"/>
          <w:sz w:val="32"/>
          <w:szCs w:val="32"/>
        </w:rPr>
        <w:t>事故槽环境检验检测情况</w:t>
      </w:r>
    </w:p>
    <w:p w14:paraId="62DD9EAA">
      <w:pPr>
        <w:pStyle w:val="7"/>
        <w:adjustRightInd w:val="0"/>
        <w:snapToGrid w:val="0"/>
        <w:spacing w:line="560" w:lineRule="exact"/>
        <w:ind w:firstLine="640" w:firstLineChars="200"/>
        <w:rPr>
          <w:rFonts w:hAnsi="仿宋_GB2312" w:cs="仿宋_GB2312"/>
        </w:rPr>
      </w:pPr>
      <w:bookmarkStart w:id="50" w:name="_Toc14072"/>
      <w:r>
        <w:rPr>
          <w:rFonts w:hint="eastAsia" w:hAnsi="仿宋_GB2312" w:cs="仿宋_GB2312"/>
        </w:rPr>
        <w:t>经使用“五合一”泵吸式气体检测仪对硫泡沫槽内监测显示：氨气（NH</w:t>
      </w:r>
      <w:r>
        <w:rPr>
          <w:rFonts w:hint="eastAsia" w:hAnsi="仿宋_GB2312" w:cs="仿宋_GB2312"/>
          <w:vertAlign w:val="subscript"/>
        </w:rPr>
        <w:t>3</w:t>
      </w:r>
      <w:r>
        <w:rPr>
          <w:rFonts w:hint="eastAsia" w:hAnsi="仿宋_GB2312" w:cs="仿宋_GB2312"/>
        </w:rPr>
        <w:t>）为OL（表示超量程报警），硫化氢（H</w:t>
      </w:r>
      <w:r>
        <w:rPr>
          <w:rFonts w:hint="eastAsia" w:hAnsi="仿宋_GB2312" w:cs="仿宋_GB2312"/>
          <w:vertAlign w:val="subscript"/>
        </w:rPr>
        <w:t>2</w:t>
      </w:r>
      <w:r>
        <w:rPr>
          <w:rFonts w:hint="eastAsia" w:hAnsi="仿宋_GB2312" w:cs="仿宋_GB2312"/>
        </w:rPr>
        <w:t>S）为0ppm，一氧化碳（CO）为15ppm，氧气（O</w:t>
      </w:r>
      <w:r>
        <w:rPr>
          <w:rFonts w:hint="eastAsia" w:hAnsi="仿宋_GB2312" w:cs="仿宋_GB2312"/>
          <w:vertAlign w:val="subscript"/>
        </w:rPr>
        <w:t>2</w:t>
      </w:r>
      <w:r>
        <w:rPr>
          <w:rFonts w:hint="eastAsia" w:hAnsi="仿宋_GB2312" w:cs="仿宋_GB2312"/>
        </w:rPr>
        <w:t>）为20.9%,可燃气体为0%LEL。槽内硫泡沫属于氨水脱硫液与煤气逆向接触，通过空气氧化再生后的中间品，故硫泡沫槽气体中含有氨气（NH</w:t>
      </w:r>
      <w:r>
        <w:rPr>
          <w:rFonts w:hint="eastAsia" w:hAnsi="仿宋_GB2312" w:cs="仿宋_GB2312"/>
          <w:vertAlign w:val="subscript"/>
        </w:rPr>
        <w:t>3</w:t>
      </w:r>
      <w:r>
        <w:rPr>
          <w:rFonts w:hint="eastAsia" w:hAnsi="仿宋_GB2312" w:cs="仿宋_GB2312"/>
        </w:rPr>
        <w:t>）、一氧化碳（CO）等有毒有害成分，通过空气氧化再生的硫泡沫槽内氧含量处于正常范围，人员跌落到硫泡沫槽内后属于中毒后淹溺。</w:t>
      </w:r>
      <w:bookmarkEnd w:id="50"/>
    </w:p>
    <w:p w14:paraId="3C008536">
      <w:pPr>
        <w:pStyle w:val="7"/>
        <w:adjustRightInd w:val="0"/>
        <w:snapToGrid w:val="0"/>
        <w:spacing w:line="560" w:lineRule="exact"/>
        <w:ind w:firstLine="640" w:firstLineChars="200"/>
        <w:outlineLvl w:val="1"/>
        <w:rPr>
          <w:rFonts w:ascii="楷体_GB2312" w:hAnsi="楷体_GB2312" w:eastAsia="楷体_GB2312" w:cs="楷体_GB2312"/>
          <w:kern w:val="2"/>
        </w:rPr>
      </w:pPr>
      <w:bookmarkStart w:id="51" w:name="_Toc25897"/>
      <w:r>
        <w:rPr>
          <w:rFonts w:hint="eastAsia" w:ascii="楷体_GB2312" w:hAnsi="楷体_GB2312" w:eastAsia="楷体_GB2312" w:cs="楷体_GB2312"/>
          <w:kern w:val="2"/>
        </w:rPr>
        <w:t>（五）</w:t>
      </w:r>
      <w:r>
        <w:rPr>
          <w:rFonts w:hint="eastAsia" w:ascii="楷体_GB2312" w:hAnsi="楷体_GB2312" w:eastAsia="楷体_GB2312" w:cs="楷体_GB2312"/>
        </w:rPr>
        <w:t>人员伤亡和直接经济损失情况</w:t>
      </w:r>
      <w:bookmarkEnd w:id="40"/>
      <w:bookmarkEnd w:id="51"/>
    </w:p>
    <w:p w14:paraId="12192EC2">
      <w:pPr>
        <w:pStyle w:val="7"/>
        <w:adjustRightInd w:val="0"/>
        <w:snapToGrid w:val="0"/>
        <w:spacing w:line="560" w:lineRule="exact"/>
        <w:ind w:firstLine="640" w:firstLineChars="200"/>
        <w:rPr>
          <w:rFonts w:ascii="楷体_GB2312" w:hAnsi="楷体_GB2312" w:eastAsia="楷体_GB2312" w:cs="楷体_GB2312"/>
        </w:rPr>
      </w:pPr>
      <w:r>
        <w:rPr>
          <w:rFonts w:hint="eastAsia" w:ascii="楷体_GB2312" w:hAnsi="楷体_GB2312" w:eastAsia="楷体_GB2312" w:cs="楷体_GB2312"/>
        </w:rPr>
        <w:t>1.人员伤亡情况</w:t>
      </w:r>
      <w:bookmarkEnd w:id="41"/>
      <w:bookmarkEnd w:id="42"/>
      <w:bookmarkEnd w:id="43"/>
      <w:bookmarkEnd w:id="44"/>
      <w:bookmarkEnd w:id="45"/>
      <w:bookmarkEnd w:id="46"/>
      <w:bookmarkEnd w:id="47"/>
      <w:bookmarkEnd w:id="48"/>
      <w:bookmarkEnd w:id="49"/>
    </w:p>
    <w:p w14:paraId="08A6C36F">
      <w:pPr>
        <w:spacing w:line="560" w:lineRule="exact"/>
        <w:ind w:firstLine="640" w:firstLineChars="200"/>
        <w:rPr>
          <w:rFonts w:eastAsia="仿宋_GB2312"/>
          <w:sz w:val="32"/>
          <w:szCs w:val="32"/>
        </w:rPr>
      </w:pPr>
      <w:bookmarkStart w:id="52" w:name="_Toc22923"/>
      <w:bookmarkStart w:id="53" w:name="_Toc5821"/>
      <w:bookmarkStart w:id="54" w:name="_Toc22759"/>
      <w:bookmarkStart w:id="55" w:name="_Toc9206"/>
      <w:bookmarkStart w:id="56" w:name="_Toc21524"/>
      <w:bookmarkStart w:id="57" w:name="_Toc27891"/>
      <w:bookmarkStart w:id="58" w:name="_Toc2198"/>
      <w:bookmarkStart w:id="59" w:name="_Toc23017"/>
      <w:bookmarkStart w:id="60" w:name="_Toc8348"/>
      <w:r>
        <w:rPr>
          <w:rFonts w:eastAsia="仿宋_GB2312"/>
          <w:sz w:val="32"/>
          <w:szCs w:val="32"/>
        </w:rPr>
        <w:t>本次事故造成1人死亡</w:t>
      </w:r>
      <w:r>
        <w:rPr>
          <w:rFonts w:hint="eastAsia" w:eastAsia="仿宋_GB2312"/>
          <w:sz w:val="32"/>
          <w:szCs w:val="32"/>
        </w:rPr>
        <w:t>。</w:t>
      </w:r>
    </w:p>
    <w:p w14:paraId="670F21C8">
      <w:pPr>
        <w:spacing w:line="560" w:lineRule="exact"/>
        <w:ind w:firstLine="640" w:firstLineChars="200"/>
        <w:jc w:val="left"/>
        <w:rPr>
          <w:rFonts w:eastAsia="仿宋_GB2312"/>
          <w:sz w:val="32"/>
          <w:szCs w:val="32"/>
        </w:rPr>
      </w:pPr>
      <w:r>
        <w:rPr>
          <w:rFonts w:hint="eastAsia" w:ascii="仿宋_GB2312" w:hAnsi="仿宋_GB2312" w:eastAsia="仿宋_GB2312" w:cs="仿宋_GB2312"/>
          <w:sz w:val="32"/>
          <w:szCs w:val="32"/>
        </w:rPr>
        <w:t>死者：</w:t>
      </w:r>
      <w:r>
        <w:rPr>
          <w:rFonts w:hint="eastAsia" w:eastAsia="仿宋_GB2312"/>
          <w:sz w:val="32"/>
          <w:szCs w:val="32"/>
        </w:rPr>
        <w:t>文小中</w:t>
      </w:r>
      <w:r>
        <w:rPr>
          <w:rFonts w:eastAsia="仿宋_GB2312"/>
          <w:sz w:val="32"/>
          <w:szCs w:val="32"/>
        </w:rPr>
        <w:t>，男，3</w:t>
      </w:r>
      <w:r>
        <w:rPr>
          <w:rFonts w:hint="eastAsia" w:eastAsia="仿宋_GB2312"/>
          <w:sz w:val="32"/>
          <w:szCs w:val="32"/>
        </w:rPr>
        <w:t>2</w:t>
      </w:r>
      <w:r>
        <w:rPr>
          <w:rFonts w:eastAsia="仿宋_GB2312"/>
          <w:sz w:val="32"/>
          <w:szCs w:val="32"/>
        </w:rPr>
        <w:t>岁</w:t>
      </w:r>
      <w:r>
        <w:rPr>
          <w:rFonts w:hint="eastAsia" w:eastAsia="仿宋_GB2312"/>
          <w:sz w:val="32"/>
          <w:szCs w:val="32"/>
          <w:lang w:eastAsia="zh-CN"/>
        </w:rPr>
        <w:t>，</w:t>
      </w:r>
      <w:r>
        <w:rPr>
          <w:rFonts w:eastAsia="仿宋_GB2312"/>
          <w:sz w:val="32"/>
          <w:szCs w:val="32"/>
        </w:rPr>
        <w:t>住址：</w:t>
      </w:r>
      <w:r>
        <w:rPr>
          <w:rFonts w:hint="eastAsia" w:eastAsia="仿宋_GB2312"/>
          <w:sz w:val="32"/>
          <w:szCs w:val="32"/>
        </w:rPr>
        <w:t>山西省稷山县稷峰镇加庄村第一居民组；工作单位及岗位：山西阳光焦化集团股份有限公司阳光焦化厂化产装置区电工。</w:t>
      </w:r>
    </w:p>
    <w:p w14:paraId="66210CE0">
      <w:pPr>
        <w:pStyle w:val="7"/>
        <w:adjustRightInd w:val="0"/>
        <w:snapToGrid w:val="0"/>
        <w:spacing w:line="560" w:lineRule="exact"/>
        <w:ind w:firstLine="640" w:firstLineChars="200"/>
        <w:rPr>
          <w:rFonts w:ascii="楷体_GB2312" w:hAnsi="楷体_GB2312" w:eastAsia="楷体_GB2312" w:cs="楷体_GB2312"/>
        </w:rPr>
      </w:pPr>
      <w:r>
        <w:rPr>
          <w:rFonts w:hint="eastAsia" w:ascii="楷体_GB2312" w:hAnsi="楷体_GB2312" w:eastAsia="楷体_GB2312" w:cs="楷体_GB2312"/>
        </w:rPr>
        <w:t>2.直接经济损失</w:t>
      </w:r>
      <w:bookmarkEnd w:id="52"/>
      <w:bookmarkEnd w:id="53"/>
      <w:bookmarkEnd w:id="54"/>
      <w:bookmarkEnd w:id="55"/>
      <w:bookmarkEnd w:id="56"/>
      <w:bookmarkEnd w:id="57"/>
      <w:bookmarkEnd w:id="58"/>
      <w:bookmarkEnd w:id="59"/>
      <w:bookmarkEnd w:id="60"/>
    </w:p>
    <w:p w14:paraId="36F86997">
      <w:pPr>
        <w:spacing w:line="560" w:lineRule="exact"/>
        <w:ind w:firstLine="640" w:firstLineChars="200"/>
        <w:rPr>
          <w:rFonts w:eastAsia="仿宋_GB2312"/>
          <w:sz w:val="32"/>
          <w:szCs w:val="32"/>
        </w:rPr>
      </w:pPr>
      <w:r>
        <w:rPr>
          <w:rFonts w:ascii="仿宋" w:hAnsi="仿宋" w:eastAsia="仿宋" w:cs="仿宋"/>
          <w:kern w:val="2"/>
          <w:sz w:val="32"/>
          <w:szCs w:val="32"/>
        </w:rPr>
        <w:t>依据《企业职工伤亡事故经济损失统计标</w:t>
      </w:r>
      <w:r>
        <w:rPr>
          <w:rFonts w:eastAsia="仿宋_GB2312"/>
          <w:sz w:val="32"/>
          <w:szCs w:val="32"/>
        </w:rPr>
        <w:t>准》（GB6721-1986）</w:t>
      </w:r>
      <w:r>
        <w:rPr>
          <w:rFonts w:hint="eastAsia" w:eastAsia="仿宋_GB2312"/>
          <w:sz w:val="32"/>
          <w:szCs w:val="32"/>
        </w:rPr>
        <w:t>，</w:t>
      </w:r>
      <w:r>
        <w:rPr>
          <w:rFonts w:eastAsia="仿宋_GB2312"/>
          <w:sz w:val="32"/>
          <w:szCs w:val="32"/>
        </w:rPr>
        <w:t>核定事故造成直接经济损失约150万元。</w:t>
      </w:r>
    </w:p>
    <w:p w14:paraId="20882F02">
      <w:pPr>
        <w:adjustRightInd w:val="0"/>
        <w:snapToGrid w:val="0"/>
        <w:spacing w:line="560" w:lineRule="exact"/>
        <w:ind w:firstLine="640" w:firstLineChars="200"/>
        <w:outlineLvl w:val="0"/>
        <w:rPr>
          <w:rFonts w:ascii="黑体" w:hAnsi="黑体" w:eastAsia="黑体" w:cs="黑体"/>
          <w:sz w:val="32"/>
          <w:szCs w:val="32"/>
        </w:rPr>
      </w:pPr>
      <w:bookmarkStart w:id="61" w:name="_Toc27169"/>
      <w:bookmarkStart w:id="62" w:name="_Toc20948"/>
      <w:bookmarkStart w:id="63" w:name="_Toc160611373"/>
      <w:r>
        <w:rPr>
          <w:rFonts w:hint="eastAsia" w:ascii="黑体" w:hAnsi="黑体" w:eastAsia="黑体" w:cs="黑体"/>
          <w:sz w:val="32"/>
          <w:szCs w:val="32"/>
        </w:rPr>
        <w:t>二、事故应急处置及评估情况</w:t>
      </w:r>
      <w:bookmarkEnd w:id="61"/>
      <w:bookmarkEnd w:id="62"/>
    </w:p>
    <w:p w14:paraId="2D3EE78E">
      <w:pPr>
        <w:adjustRightInd w:val="0"/>
        <w:snapToGrid w:val="0"/>
        <w:spacing w:line="560" w:lineRule="exact"/>
        <w:ind w:firstLine="640" w:firstLineChars="200"/>
        <w:jc w:val="left"/>
        <w:outlineLvl w:val="1"/>
        <w:rPr>
          <w:rFonts w:ascii="楷体_GB2312" w:hAnsi="楷体_GB2312" w:eastAsia="楷体_GB2312" w:cs="楷体_GB2312"/>
          <w:sz w:val="32"/>
          <w:szCs w:val="32"/>
        </w:rPr>
      </w:pPr>
      <w:bookmarkStart w:id="64" w:name="_Toc13813"/>
      <w:bookmarkStart w:id="65" w:name="_Toc1882"/>
      <w:bookmarkStart w:id="66" w:name="_Toc2154"/>
      <w:bookmarkStart w:id="67" w:name="_Toc15734"/>
      <w:bookmarkStart w:id="68" w:name="_Toc24539"/>
      <w:bookmarkStart w:id="69" w:name="_Toc25379"/>
      <w:bookmarkStart w:id="70" w:name="_Toc32604"/>
      <w:bookmarkStart w:id="71" w:name="_Toc5541"/>
      <w:bookmarkStart w:id="72" w:name="_Toc6679"/>
      <w:bookmarkStart w:id="73" w:name="_Toc26960"/>
      <w:bookmarkStart w:id="74" w:name="_Toc8123"/>
      <w:r>
        <w:rPr>
          <w:rFonts w:hint="eastAsia" w:ascii="楷体_GB2312" w:hAnsi="楷体_GB2312" w:eastAsia="楷体_GB2312" w:cs="楷体_GB2312"/>
          <w:kern w:val="2"/>
          <w:sz w:val="32"/>
          <w:szCs w:val="32"/>
        </w:rPr>
        <w:t>（一）</w:t>
      </w:r>
      <w:r>
        <w:rPr>
          <w:rFonts w:hint="eastAsia" w:ascii="楷体_GB2312" w:hAnsi="楷体_GB2312" w:eastAsia="楷体_GB2312" w:cs="楷体_GB2312"/>
          <w:sz w:val="32"/>
          <w:szCs w:val="32"/>
        </w:rPr>
        <w:t>事故信息接报及响应情况</w:t>
      </w:r>
      <w:bookmarkEnd w:id="64"/>
      <w:bookmarkEnd w:id="65"/>
      <w:bookmarkEnd w:id="66"/>
      <w:bookmarkEnd w:id="67"/>
      <w:bookmarkEnd w:id="68"/>
      <w:bookmarkEnd w:id="69"/>
      <w:bookmarkEnd w:id="70"/>
      <w:bookmarkEnd w:id="71"/>
      <w:bookmarkEnd w:id="72"/>
      <w:bookmarkEnd w:id="73"/>
      <w:bookmarkEnd w:id="74"/>
    </w:p>
    <w:p w14:paraId="1052A00F">
      <w:pPr>
        <w:adjustRightInd w:val="0"/>
        <w:snapToGrid w:val="0"/>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1.事故发生单位上报情况</w:t>
      </w:r>
    </w:p>
    <w:p w14:paraId="140CD4CB">
      <w:pPr>
        <w:spacing w:line="560" w:lineRule="exact"/>
        <w:ind w:firstLine="640" w:firstLineChars="200"/>
        <w:rPr>
          <w:rFonts w:eastAsia="仿宋_GB2312"/>
          <w:sz w:val="32"/>
          <w:szCs w:val="32"/>
        </w:rPr>
      </w:pPr>
      <w:r>
        <w:rPr>
          <w:rFonts w:hint="eastAsia" w:eastAsia="仿宋_GB2312"/>
          <w:sz w:val="32"/>
          <w:szCs w:val="32"/>
        </w:rPr>
        <w:t>2024年8月8日</w:t>
      </w:r>
      <w:r>
        <w:rPr>
          <w:rFonts w:eastAsia="仿宋_GB2312"/>
          <w:sz w:val="32"/>
          <w:szCs w:val="32"/>
        </w:rPr>
        <w:t>17</w:t>
      </w:r>
      <w:r>
        <w:rPr>
          <w:rFonts w:hint="eastAsia" w:eastAsia="仿宋_GB2312"/>
          <w:sz w:val="32"/>
          <w:szCs w:val="32"/>
        </w:rPr>
        <w:t>：</w:t>
      </w:r>
      <w:r>
        <w:rPr>
          <w:rFonts w:eastAsia="仿宋_GB2312"/>
          <w:sz w:val="32"/>
          <w:szCs w:val="32"/>
        </w:rPr>
        <w:t>20分左右，</w:t>
      </w:r>
      <w:r>
        <w:rPr>
          <w:rFonts w:hint="eastAsia" w:eastAsia="仿宋_GB2312"/>
          <w:sz w:val="32"/>
          <w:szCs w:val="32"/>
        </w:rPr>
        <w:t>在2</w:t>
      </w:r>
      <w:r>
        <w:rPr>
          <w:rFonts w:hint="eastAsia" w:eastAsia="仿宋_GB2312"/>
          <w:sz w:val="32"/>
          <w:szCs w:val="32"/>
          <w:vertAlign w:val="superscript"/>
        </w:rPr>
        <w:t>#</w:t>
      </w:r>
      <w:r>
        <w:rPr>
          <w:rFonts w:hint="eastAsia" w:eastAsia="仿宋_GB2312"/>
          <w:sz w:val="32"/>
          <w:szCs w:val="32"/>
        </w:rPr>
        <w:t>硫泡沫槽</w:t>
      </w:r>
      <w:r>
        <w:rPr>
          <w:rFonts w:eastAsia="仿宋_GB2312"/>
          <w:sz w:val="32"/>
          <w:szCs w:val="32"/>
        </w:rPr>
        <w:t>搅拌机电机润滑保养</w:t>
      </w:r>
      <w:r>
        <w:rPr>
          <w:rFonts w:hint="eastAsia" w:eastAsia="仿宋_GB2312"/>
          <w:sz w:val="32"/>
          <w:szCs w:val="32"/>
        </w:rPr>
        <w:t>、</w:t>
      </w:r>
      <w:r>
        <w:rPr>
          <w:rFonts w:eastAsia="仿宋_GB2312"/>
          <w:sz w:val="32"/>
          <w:szCs w:val="32"/>
        </w:rPr>
        <w:t>回装过程中</w:t>
      </w:r>
      <w:r>
        <w:rPr>
          <w:rFonts w:hint="eastAsia" w:eastAsia="仿宋_GB2312"/>
          <w:sz w:val="32"/>
          <w:szCs w:val="32"/>
        </w:rPr>
        <w:t>电工文小中掉落至2</w:t>
      </w:r>
      <w:r>
        <w:rPr>
          <w:rFonts w:hint="eastAsia" w:eastAsia="仿宋_GB2312"/>
          <w:sz w:val="32"/>
          <w:szCs w:val="32"/>
          <w:vertAlign w:val="superscript"/>
        </w:rPr>
        <w:t>#</w:t>
      </w:r>
      <w:r>
        <w:rPr>
          <w:rFonts w:hint="eastAsia" w:eastAsia="仿宋_GB2312"/>
          <w:sz w:val="32"/>
          <w:szCs w:val="32"/>
        </w:rPr>
        <w:t>硫泡沫槽内</w:t>
      </w:r>
      <w:r>
        <w:rPr>
          <w:rFonts w:eastAsia="仿宋_GB2312"/>
          <w:sz w:val="32"/>
          <w:szCs w:val="32"/>
        </w:rPr>
        <w:t>。</w:t>
      </w:r>
      <w:r>
        <w:rPr>
          <w:rFonts w:hint="eastAsia" w:eastAsia="仿宋_GB2312"/>
          <w:sz w:val="32"/>
          <w:szCs w:val="32"/>
        </w:rPr>
        <w:t>事故发生后，包片电工</w:t>
      </w:r>
      <w:r>
        <w:rPr>
          <w:rFonts w:eastAsia="仿宋_GB2312"/>
          <w:sz w:val="32"/>
          <w:szCs w:val="32"/>
        </w:rPr>
        <w:t>杨杰</w:t>
      </w:r>
      <w:r>
        <w:rPr>
          <w:rFonts w:hint="eastAsia" w:eastAsia="仿宋_GB2312"/>
          <w:sz w:val="32"/>
          <w:szCs w:val="32"/>
        </w:rPr>
        <w:t>马上用对讲机呼叫电工班长许云岗报告事故。化产装置区安全主管张春生接收到对讲机事故报告的信息后，立即与脱硫工段长李晓勇一同赶往事故现场，并于17：30左右用对讲机向化产装置区经理文增国进行汇报。文增国接到事故报告后也立即赶往现场组织救援，在事故人员文小中被送往山西铝厂职工医院时于17：38向山西阳光焦化厂厂长王文军汇报了事故情况，17：49联系厂安全部经理杨福通报事故情况。18：01分杨福向河津市应急管理局24小时值班电话汇报事故初步情况。18：40分文小中经医院抢救无效宣布死亡，19：05分杨福向河津市应急管理局24小时值班电话进行了事故续报。</w:t>
      </w:r>
    </w:p>
    <w:p w14:paraId="605F9F89">
      <w:pPr>
        <w:spacing w:line="560" w:lineRule="exact"/>
        <w:ind w:firstLine="640" w:firstLineChars="200"/>
        <w:jc w:val="left"/>
        <w:rPr>
          <w:rFonts w:eastAsia="仿宋_GB2312"/>
          <w:sz w:val="32"/>
          <w:szCs w:val="32"/>
        </w:rPr>
      </w:pPr>
      <w:r>
        <w:rPr>
          <w:rFonts w:hint="eastAsia" w:ascii="楷体" w:hAnsi="楷体" w:eastAsia="楷体" w:cs="楷体"/>
          <w:sz w:val="32"/>
          <w:szCs w:val="32"/>
        </w:rPr>
        <w:t>2.应急响应情况</w:t>
      </w:r>
    </w:p>
    <w:p w14:paraId="5E335D64">
      <w:pPr>
        <w:spacing w:line="560" w:lineRule="exact"/>
        <w:ind w:firstLine="640" w:firstLineChars="200"/>
        <w:rPr>
          <w:rFonts w:eastAsia="仿宋_GB2312"/>
          <w:sz w:val="32"/>
          <w:szCs w:val="32"/>
        </w:rPr>
      </w:pPr>
      <w:r>
        <w:rPr>
          <w:rFonts w:hint="eastAsia" w:eastAsia="仿宋_GB2312"/>
          <w:sz w:val="32"/>
          <w:szCs w:val="32"/>
        </w:rPr>
        <w:t>经询问调查，电工班长许云岗、脱硫工段长李晓勇、化产装置区安全主管张春生在接到对讲机事故报告信息后，都赶往事故现场参与救援，进行前期现场应急处置，接着用对讲机向化产装置区经理文增国进行汇报。化产装置区经理文增国接到事故报告后立即赶往现场并向山西阳光焦化厂厂长王文军汇报了事故情况，到达现场后立即组织应急救援人员进行紧急救援。</w:t>
      </w:r>
    </w:p>
    <w:p w14:paraId="7110ABED">
      <w:pPr>
        <w:pStyle w:val="3"/>
        <w:autoSpaceDE w:val="0"/>
        <w:autoSpaceDN w:val="0"/>
        <w:spacing w:line="560" w:lineRule="exact"/>
        <w:ind w:left="0" w:firstLine="640" w:firstLineChars="200"/>
        <w:jc w:val="left"/>
        <w:rPr>
          <w:rFonts w:ascii="楷体_GB2312" w:hAnsi="楷体_GB2312" w:eastAsia="楷体_GB2312" w:cs="楷体_GB2312"/>
          <w:b w:val="0"/>
          <w:bCs w:val="0"/>
        </w:rPr>
      </w:pPr>
      <w:bookmarkStart w:id="75" w:name="_Toc11740"/>
      <w:bookmarkStart w:id="76" w:name="_Toc27542"/>
      <w:bookmarkStart w:id="77" w:name="_Toc18993"/>
      <w:bookmarkStart w:id="78" w:name="_Toc29713"/>
      <w:bookmarkStart w:id="79" w:name="_Toc6421"/>
      <w:bookmarkStart w:id="80" w:name="_Toc6922"/>
      <w:bookmarkStart w:id="81" w:name="_Toc6383"/>
      <w:bookmarkStart w:id="82" w:name="_Toc32678"/>
      <w:bookmarkStart w:id="83" w:name="_Toc2985"/>
      <w:bookmarkStart w:id="84" w:name="_Toc8030"/>
      <w:bookmarkStart w:id="85" w:name="_Toc19061"/>
      <w:r>
        <w:rPr>
          <w:rFonts w:hint="eastAsia" w:ascii="楷体_GB2312" w:hAnsi="楷体_GB2312" w:eastAsia="楷体_GB2312" w:cs="楷体_GB2312"/>
          <w:b w:val="0"/>
          <w:bCs w:val="0"/>
          <w:kern w:val="2"/>
        </w:rPr>
        <w:t>（二）</w:t>
      </w:r>
      <w:r>
        <w:rPr>
          <w:rFonts w:hint="eastAsia" w:ascii="楷体_GB2312" w:hAnsi="楷体_GB2312" w:eastAsia="楷体_GB2312" w:cs="楷体_GB2312"/>
          <w:b w:val="0"/>
          <w:bCs w:val="0"/>
        </w:rPr>
        <w:t>事故现场应急处置情况</w:t>
      </w:r>
      <w:bookmarkEnd w:id="75"/>
      <w:bookmarkEnd w:id="76"/>
      <w:bookmarkEnd w:id="77"/>
      <w:bookmarkEnd w:id="78"/>
      <w:bookmarkEnd w:id="79"/>
      <w:bookmarkEnd w:id="80"/>
      <w:bookmarkEnd w:id="81"/>
      <w:bookmarkEnd w:id="82"/>
      <w:bookmarkEnd w:id="83"/>
      <w:bookmarkEnd w:id="84"/>
      <w:bookmarkEnd w:id="85"/>
    </w:p>
    <w:p w14:paraId="70BE9E93">
      <w:pPr>
        <w:spacing w:line="560" w:lineRule="exact"/>
        <w:ind w:firstLine="640" w:firstLineChars="200"/>
        <w:rPr>
          <w:rFonts w:ascii="楷体_GB2312" w:hAnsi="楷体_GB2312" w:eastAsia="楷体_GB2312" w:cs="楷体_GB2312"/>
          <w:sz w:val="32"/>
          <w:szCs w:val="32"/>
        </w:rPr>
      </w:pPr>
      <w:bookmarkStart w:id="86" w:name="_Toc5051"/>
      <w:r>
        <w:rPr>
          <w:rFonts w:hint="eastAsia" w:ascii="楷体_GB2312" w:hAnsi="楷体_GB2312" w:eastAsia="楷体_GB2312" w:cs="楷体_GB2312"/>
          <w:sz w:val="32"/>
          <w:szCs w:val="32"/>
        </w:rPr>
        <w:t>1.现场人员自救互救情况</w:t>
      </w:r>
    </w:p>
    <w:p w14:paraId="76BF7099">
      <w:pPr>
        <w:spacing w:line="560" w:lineRule="exact"/>
        <w:ind w:firstLine="640" w:firstLineChars="200"/>
        <w:rPr>
          <w:rFonts w:eastAsia="仿宋_GB2312"/>
          <w:sz w:val="32"/>
          <w:szCs w:val="32"/>
        </w:rPr>
      </w:pPr>
      <w:r>
        <w:rPr>
          <w:rFonts w:eastAsia="仿宋_GB2312"/>
          <w:sz w:val="32"/>
          <w:szCs w:val="32"/>
        </w:rPr>
        <w:t>电工</w:t>
      </w:r>
      <w:r>
        <w:rPr>
          <w:rFonts w:hint="eastAsia" w:eastAsia="仿宋_GB2312"/>
          <w:sz w:val="32"/>
          <w:szCs w:val="32"/>
        </w:rPr>
        <w:t>文小中跌</w:t>
      </w:r>
      <w:r>
        <w:rPr>
          <w:rFonts w:eastAsia="仿宋_GB2312"/>
          <w:sz w:val="32"/>
          <w:szCs w:val="32"/>
        </w:rPr>
        <w:t>落硫泡沫槽</w:t>
      </w:r>
      <w:r>
        <w:rPr>
          <w:rFonts w:hint="eastAsia" w:eastAsia="仿宋_GB2312"/>
          <w:sz w:val="32"/>
          <w:szCs w:val="32"/>
        </w:rPr>
        <w:t>后，包片电工</w:t>
      </w:r>
      <w:r>
        <w:rPr>
          <w:rFonts w:eastAsia="仿宋_GB2312"/>
          <w:sz w:val="32"/>
          <w:szCs w:val="32"/>
        </w:rPr>
        <w:t>杨杰随即拿起现场</w:t>
      </w:r>
      <w:r>
        <w:rPr>
          <w:rFonts w:hint="eastAsia" w:eastAsia="仿宋_GB2312"/>
          <w:sz w:val="32"/>
          <w:szCs w:val="32"/>
        </w:rPr>
        <w:t>橡胶</w:t>
      </w:r>
      <w:r>
        <w:rPr>
          <w:rFonts w:eastAsia="仿宋_GB2312"/>
          <w:sz w:val="32"/>
          <w:szCs w:val="32"/>
        </w:rPr>
        <w:t>管伸入泡沫槽内救援，</w:t>
      </w:r>
      <w:r>
        <w:rPr>
          <w:rFonts w:hint="eastAsia" w:eastAsia="仿宋_GB2312"/>
          <w:sz w:val="32"/>
          <w:szCs w:val="32"/>
        </w:rPr>
        <w:t>文小中手抓住橡胶管，</w:t>
      </w:r>
      <w:r>
        <w:rPr>
          <w:rFonts w:eastAsia="仿宋_GB2312"/>
          <w:sz w:val="32"/>
          <w:szCs w:val="32"/>
        </w:rPr>
        <w:t>杨杰、师锦涛</w:t>
      </w:r>
      <w:r>
        <w:rPr>
          <w:rFonts w:hint="eastAsia" w:eastAsia="仿宋_GB2312"/>
          <w:sz w:val="32"/>
          <w:szCs w:val="32"/>
        </w:rPr>
        <w:t>合力往上拉，已经露出头部和胸部时，因文小中全身沾满硫泡沫，又滑落到硫泡沫液里。</w:t>
      </w:r>
      <w:r>
        <w:rPr>
          <w:rFonts w:eastAsia="仿宋_GB2312"/>
          <w:sz w:val="32"/>
          <w:szCs w:val="32"/>
        </w:rPr>
        <w:t>杨杰、师锦涛立即到二层平台应急库房与</w:t>
      </w:r>
      <w:r>
        <w:rPr>
          <w:rFonts w:hint="eastAsia" w:eastAsia="仿宋_GB2312"/>
          <w:sz w:val="32"/>
          <w:szCs w:val="32"/>
        </w:rPr>
        <w:t>脱硫</w:t>
      </w:r>
      <w:r>
        <w:rPr>
          <w:rFonts w:eastAsia="仿宋_GB2312"/>
          <w:sz w:val="32"/>
          <w:szCs w:val="32"/>
        </w:rPr>
        <w:t>操作工卫红争拿直梯、绳索、安全带等救援设备</w:t>
      </w:r>
      <w:r>
        <w:rPr>
          <w:rFonts w:hint="eastAsia" w:eastAsia="仿宋_GB2312"/>
          <w:sz w:val="32"/>
          <w:szCs w:val="32"/>
        </w:rPr>
        <w:t>进行救援。</w:t>
      </w:r>
    </w:p>
    <w:p w14:paraId="4F777713">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2.企业组织应急救援情况</w:t>
      </w:r>
    </w:p>
    <w:p w14:paraId="42432BBE">
      <w:pPr>
        <w:spacing w:line="560" w:lineRule="exact"/>
        <w:ind w:firstLine="640" w:firstLineChars="200"/>
        <w:rPr>
          <w:rFonts w:eastAsia="仿宋_GB2312"/>
          <w:sz w:val="32"/>
          <w:szCs w:val="32"/>
        </w:rPr>
      </w:pPr>
      <w:r>
        <w:rPr>
          <w:rFonts w:eastAsia="仿宋_GB2312"/>
          <w:sz w:val="32"/>
          <w:szCs w:val="32"/>
        </w:rPr>
        <w:t>正在</w:t>
      </w:r>
      <w:r>
        <w:rPr>
          <w:rFonts w:hint="eastAsia" w:eastAsia="仿宋_GB2312"/>
          <w:sz w:val="32"/>
          <w:szCs w:val="32"/>
        </w:rPr>
        <w:t>脱硫厂房</w:t>
      </w:r>
      <w:r>
        <w:rPr>
          <w:rFonts w:eastAsia="仿宋_GB2312"/>
          <w:sz w:val="32"/>
          <w:szCs w:val="32"/>
        </w:rPr>
        <w:t>一层安全检查</w:t>
      </w:r>
      <w:r>
        <w:rPr>
          <w:rFonts w:hint="eastAsia" w:eastAsia="仿宋_GB2312"/>
          <w:sz w:val="32"/>
          <w:szCs w:val="32"/>
        </w:rPr>
        <w:t>的脱硫工段长李晓勇、化产装置区安全主管张春生接到脱硫</w:t>
      </w:r>
      <w:r>
        <w:rPr>
          <w:rFonts w:eastAsia="仿宋_GB2312"/>
          <w:sz w:val="32"/>
          <w:szCs w:val="32"/>
        </w:rPr>
        <w:t>操作工卫红争对讲机</w:t>
      </w:r>
      <w:r>
        <w:rPr>
          <w:rFonts w:hint="eastAsia" w:eastAsia="仿宋_GB2312"/>
          <w:sz w:val="32"/>
          <w:szCs w:val="32"/>
        </w:rPr>
        <w:t>事故报告，立即赶往现场查看情况。李晓勇跑到二楼平台2</w:t>
      </w:r>
      <w:r>
        <w:rPr>
          <w:rFonts w:hint="eastAsia" w:eastAsia="仿宋_GB2312"/>
          <w:sz w:val="32"/>
          <w:szCs w:val="32"/>
          <w:vertAlign w:val="superscript"/>
        </w:rPr>
        <w:t>#</w:t>
      </w:r>
      <w:r>
        <w:rPr>
          <w:rFonts w:hint="eastAsia" w:eastAsia="仿宋_GB2312"/>
          <w:sz w:val="32"/>
          <w:szCs w:val="32"/>
        </w:rPr>
        <w:t>泡沫槽底部打开阀门对槽内泡沫液进行放空，并跑到一楼拉消防水管，配合三楼救援人员使用现场检修警戒线把消防水带拉上去对槽内泡沫液进行稀释。接到事故报告的化产装置区经理文增国</w:t>
      </w:r>
      <w:r>
        <w:rPr>
          <w:rFonts w:eastAsia="仿宋_GB2312"/>
          <w:sz w:val="32"/>
          <w:szCs w:val="32"/>
        </w:rPr>
        <w:t>赶到事故现场</w:t>
      </w:r>
      <w:r>
        <w:rPr>
          <w:rFonts w:hint="eastAsia" w:eastAsia="仿宋_GB2312"/>
          <w:sz w:val="32"/>
          <w:szCs w:val="32"/>
        </w:rPr>
        <w:t>后，立即联系</w:t>
      </w:r>
      <w:r>
        <w:rPr>
          <w:rFonts w:eastAsia="仿宋_GB2312"/>
          <w:sz w:val="32"/>
          <w:szCs w:val="32"/>
        </w:rPr>
        <w:t>总调车辆</w:t>
      </w:r>
      <w:r>
        <w:rPr>
          <w:rFonts w:hint="eastAsia" w:eastAsia="仿宋_GB2312"/>
          <w:sz w:val="32"/>
          <w:szCs w:val="32"/>
        </w:rPr>
        <w:t>（晋MG953V）</w:t>
      </w:r>
      <w:r>
        <w:rPr>
          <w:rFonts w:eastAsia="仿宋_GB2312"/>
          <w:sz w:val="32"/>
          <w:szCs w:val="32"/>
        </w:rPr>
        <w:t>现场待命</w:t>
      </w:r>
      <w:r>
        <w:rPr>
          <w:rFonts w:hint="eastAsia" w:eastAsia="仿宋_GB2312"/>
          <w:sz w:val="32"/>
          <w:szCs w:val="32"/>
        </w:rPr>
        <w:t>，并组织现场人员进行救援。油库工段长柴国斌、制酸工段长董瑞轩分别佩戴五点式安全带和长管式呼吸器先后沿着直梯进入槽内实施两次救援，17时30分</w:t>
      </w:r>
      <w:r>
        <w:rPr>
          <w:rFonts w:eastAsia="仿宋_GB2312"/>
          <w:sz w:val="32"/>
          <w:szCs w:val="32"/>
        </w:rPr>
        <w:t>受困人员</w:t>
      </w:r>
      <w:r>
        <w:rPr>
          <w:rFonts w:hint="eastAsia" w:eastAsia="仿宋_GB2312"/>
          <w:sz w:val="32"/>
          <w:szCs w:val="32"/>
        </w:rPr>
        <w:t>文小中被救出，送往山西铝厂职工医院救治</w:t>
      </w:r>
      <w:r>
        <w:rPr>
          <w:rFonts w:eastAsia="仿宋_GB2312"/>
          <w:sz w:val="32"/>
          <w:szCs w:val="32"/>
        </w:rPr>
        <w:t>。</w:t>
      </w:r>
    </w:p>
    <w:p w14:paraId="3FDF256B">
      <w:pPr>
        <w:pStyle w:val="3"/>
        <w:autoSpaceDE w:val="0"/>
        <w:autoSpaceDN w:val="0"/>
        <w:spacing w:line="560" w:lineRule="exact"/>
        <w:ind w:left="0" w:firstLine="640" w:firstLineChars="200"/>
        <w:jc w:val="left"/>
        <w:rPr>
          <w:rFonts w:ascii="黑体" w:hAnsi="黑体" w:eastAsia="黑体"/>
          <w:b w:val="0"/>
          <w:bCs w:val="0"/>
          <w:color w:val="000000"/>
          <w:lang w:bidi="zh-CN"/>
        </w:rPr>
      </w:pPr>
      <w:bookmarkStart w:id="87" w:name="_Toc31736"/>
      <w:r>
        <w:rPr>
          <w:rFonts w:hint="eastAsia" w:ascii="楷体_GB2312" w:hAnsi="楷体_GB2312" w:eastAsia="楷体_GB2312" w:cs="楷体_GB2312"/>
          <w:b w:val="0"/>
          <w:bCs w:val="0"/>
          <w:kern w:val="2"/>
        </w:rPr>
        <w:t>（三）医疗救治和善后情况</w:t>
      </w:r>
      <w:bookmarkEnd w:id="86"/>
      <w:bookmarkEnd w:id="87"/>
    </w:p>
    <w:p w14:paraId="37CD820C">
      <w:pPr>
        <w:adjustRightInd w:val="0"/>
        <w:snapToGrid w:val="0"/>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1.事故人员</w:t>
      </w:r>
      <w:r>
        <w:rPr>
          <w:rFonts w:hint="eastAsia" w:ascii="楷体_GB2312" w:hAnsi="楷体_GB2312" w:eastAsia="楷体_GB2312" w:cs="楷体_GB2312"/>
          <w:kern w:val="2"/>
          <w:sz w:val="32"/>
          <w:szCs w:val="32"/>
        </w:rPr>
        <w:t>医疗救治</w:t>
      </w:r>
      <w:r>
        <w:rPr>
          <w:rFonts w:hint="eastAsia" w:ascii="楷体_GB2312" w:hAnsi="楷体_GB2312" w:eastAsia="楷体_GB2312" w:cs="楷体_GB2312"/>
          <w:sz w:val="32"/>
          <w:szCs w:val="32"/>
        </w:rPr>
        <w:t>情况</w:t>
      </w:r>
    </w:p>
    <w:p w14:paraId="6DD8AEA9">
      <w:pPr>
        <w:spacing w:line="560" w:lineRule="exact"/>
        <w:ind w:firstLine="640" w:firstLineChars="200"/>
        <w:rPr>
          <w:rFonts w:eastAsia="仿宋_GB2312"/>
          <w:sz w:val="32"/>
          <w:szCs w:val="32"/>
        </w:rPr>
      </w:pPr>
      <w:bookmarkStart w:id="88" w:name="_Toc17179"/>
      <w:r>
        <w:rPr>
          <w:rFonts w:hint="eastAsia" w:eastAsia="仿宋_GB2312"/>
          <w:sz w:val="32"/>
          <w:szCs w:val="32"/>
        </w:rPr>
        <w:t>根据山西铝厂职工医院提供的《抢救记录》及《居民死亡医学证明书》，诊断：1.心脏停搏；2.呼吸停止；3.溺水。经医院抢救无效于18：40分宣布死亡。</w:t>
      </w:r>
      <w:bookmarkStart w:id="89" w:name="_Toc15866"/>
    </w:p>
    <w:bookmarkEnd w:id="89"/>
    <w:p w14:paraId="578C2906">
      <w:pPr>
        <w:spacing w:line="56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2.善后处置情况</w:t>
      </w:r>
    </w:p>
    <w:p w14:paraId="1DD96CA0">
      <w:pPr>
        <w:spacing w:line="560" w:lineRule="exact"/>
        <w:ind w:firstLine="640" w:firstLineChars="200"/>
        <w:rPr>
          <w:rFonts w:eastAsia="仿宋_GB2312"/>
          <w:sz w:val="32"/>
          <w:szCs w:val="32"/>
        </w:rPr>
      </w:pPr>
      <w:r>
        <w:rPr>
          <w:rFonts w:hint="eastAsia" w:eastAsia="仿宋_GB2312"/>
          <w:sz w:val="32"/>
          <w:szCs w:val="32"/>
        </w:rPr>
        <w:t>阳光焦化厂装置区经理文增国、安全主管张春生等人一起在医院联系文小中妻子等家属到医院进行善后处置，后联系了晋铝宾馆并安排家属入住宾馆，先行垫付医疗费用。当晚，阳光焦化集团成立事故善后处理小组，进一步协调治理、赔偿等相关事宜。</w:t>
      </w:r>
    </w:p>
    <w:p w14:paraId="7D00CF5F">
      <w:pPr>
        <w:spacing w:line="56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3.事故现场保护及危险源控制情况</w:t>
      </w:r>
    </w:p>
    <w:p w14:paraId="5AC8A8DB">
      <w:pPr>
        <w:pStyle w:val="7"/>
        <w:tabs>
          <w:tab w:val="left" w:pos="5683"/>
        </w:tabs>
        <w:adjustRightInd w:val="0"/>
        <w:snapToGrid w:val="0"/>
        <w:spacing w:line="560" w:lineRule="exact"/>
        <w:ind w:firstLine="640" w:firstLineChars="200"/>
      </w:pPr>
      <w:bookmarkStart w:id="90" w:name="_Toc4871"/>
      <w:r>
        <w:rPr>
          <w:rFonts w:hint="eastAsia"/>
        </w:rPr>
        <w:t>经调查，阳光焦化厂救援人员将被困人员救援上来后，脱硫工段对厂房</w:t>
      </w:r>
      <w:r>
        <w:rPr>
          <w:rFonts w:hint="eastAsia" w:ascii="Times New Roman" w:hAnsi="Times New Roman"/>
        </w:rPr>
        <w:t>2</w:t>
      </w:r>
      <w:r>
        <w:rPr>
          <w:rFonts w:hint="eastAsia" w:ascii="Times New Roman" w:hAnsi="Times New Roman"/>
          <w:vertAlign w:val="superscript"/>
        </w:rPr>
        <w:t>#</w:t>
      </w:r>
      <w:r>
        <w:rPr>
          <w:rFonts w:hint="eastAsia" w:ascii="Times New Roman" w:hAnsi="Times New Roman"/>
        </w:rPr>
        <w:t>硫泡沫槽</w:t>
      </w:r>
      <w:r>
        <w:rPr>
          <w:rFonts w:hint="eastAsia"/>
        </w:rPr>
        <w:t>周边3楼平台地面硫泡沫进行了清理，在事故现场拉起了警戒带。装置区经理文增国从医院回来后，到三层平台对事故现场进行了拍照。</w:t>
      </w:r>
      <w:bookmarkEnd w:id="90"/>
    </w:p>
    <w:p w14:paraId="41F215D8">
      <w:pPr>
        <w:pStyle w:val="7"/>
        <w:tabs>
          <w:tab w:val="left" w:pos="5683"/>
        </w:tabs>
        <w:adjustRightInd w:val="0"/>
        <w:snapToGrid w:val="0"/>
        <w:spacing w:line="560" w:lineRule="exact"/>
        <w:ind w:firstLine="640" w:firstLineChars="200"/>
        <w:outlineLvl w:val="1"/>
        <w:rPr>
          <w:rFonts w:ascii="楷体_GB2312" w:hAnsi="楷体_GB2312" w:eastAsia="楷体_GB2312" w:cs="楷体_GB2312"/>
          <w:kern w:val="2"/>
        </w:rPr>
      </w:pPr>
      <w:bookmarkStart w:id="91" w:name="_Toc19708"/>
      <w:r>
        <w:rPr>
          <w:rFonts w:hint="eastAsia" w:ascii="楷体_GB2312" w:hAnsi="楷体_GB2312" w:eastAsia="楷体_GB2312" w:cs="楷体_GB2312"/>
          <w:kern w:val="2"/>
        </w:rPr>
        <w:t>（四）事故应急处置评估</w:t>
      </w:r>
      <w:bookmarkEnd w:id="88"/>
      <w:bookmarkEnd w:id="91"/>
      <w:r>
        <w:rPr>
          <w:rFonts w:hint="eastAsia" w:ascii="楷体_GB2312" w:hAnsi="楷体_GB2312" w:eastAsia="楷体_GB2312" w:cs="楷体_GB2312"/>
          <w:kern w:val="2"/>
        </w:rPr>
        <w:tab/>
      </w:r>
    </w:p>
    <w:p w14:paraId="15D74FD8">
      <w:pPr>
        <w:spacing w:line="560" w:lineRule="exact"/>
        <w:ind w:firstLine="640" w:firstLineChars="200"/>
        <w:rPr>
          <w:rFonts w:eastAsia="仿宋_GB2312"/>
          <w:sz w:val="32"/>
          <w:szCs w:val="32"/>
        </w:rPr>
      </w:pPr>
      <w:r>
        <w:rPr>
          <w:rFonts w:hint="eastAsia" w:eastAsia="仿宋_GB2312"/>
          <w:sz w:val="32"/>
          <w:szCs w:val="32"/>
        </w:rPr>
        <w:t>阳光焦化厂根据公司应急预案，</w:t>
      </w:r>
      <w:r>
        <w:rPr>
          <w:rFonts w:eastAsia="仿宋_GB2312"/>
          <w:sz w:val="32"/>
          <w:szCs w:val="32"/>
        </w:rPr>
        <w:t>配备了兼职应急救援人员。</w:t>
      </w:r>
      <w:r>
        <w:rPr>
          <w:rFonts w:hint="eastAsia" w:eastAsia="仿宋_GB2312"/>
          <w:sz w:val="32"/>
          <w:szCs w:val="32"/>
        </w:rPr>
        <w:t>2024年6月</w:t>
      </w:r>
      <w:r>
        <w:rPr>
          <w:rFonts w:eastAsia="仿宋_GB2312"/>
          <w:sz w:val="32"/>
          <w:szCs w:val="32"/>
        </w:rPr>
        <w:t>对从业人员进行</w:t>
      </w:r>
      <w:r>
        <w:rPr>
          <w:rFonts w:hint="eastAsia" w:eastAsia="仿宋_GB2312"/>
          <w:sz w:val="32"/>
          <w:szCs w:val="32"/>
        </w:rPr>
        <w:t>了</w:t>
      </w:r>
      <w:r>
        <w:rPr>
          <w:rFonts w:eastAsia="仿宋_GB2312"/>
          <w:sz w:val="32"/>
          <w:szCs w:val="32"/>
        </w:rPr>
        <w:t>应急</w:t>
      </w:r>
      <w:r>
        <w:rPr>
          <w:rFonts w:hint="eastAsia" w:eastAsia="仿宋_GB2312"/>
          <w:sz w:val="32"/>
          <w:szCs w:val="32"/>
        </w:rPr>
        <w:t>预案及应急管理</w:t>
      </w:r>
      <w:r>
        <w:rPr>
          <w:rFonts w:eastAsia="仿宋_GB2312"/>
          <w:sz w:val="32"/>
          <w:szCs w:val="32"/>
        </w:rPr>
        <w:t>知识培训</w:t>
      </w:r>
      <w:r>
        <w:rPr>
          <w:rFonts w:hint="eastAsia" w:eastAsia="仿宋_GB2312"/>
          <w:sz w:val="32"/>
          <w:szCs w:val="32"/>
        </w:rPr>
        <w:t>；</w:t>
      </w:r>
      <w:r>
        <w:rPr>
          <w:rFonts w:eastAsia="仿宋_GB2312"/>
          <w:sz w:val="32"/>
          <w:szCs w:val="32"/>
        </w:rPr>
        <w:t>202</w:t>
      </w:r>
      <w:r>
        <w:rPr>
          <w:rFonts w:hint="eastAsia" w:eastAsia="仿宋_GB2312"/>
          <w:sz w:val="32"/>
          <w:szCs w:val="32"/>
        </w:rPr>
        <w:t>4</w:t>
      </w:r>
      <w:r>
        <w:rPr>
          <w:rFonts w:eastAsia="仿宋_GB2312"/>
          <w:sz w:val="32"/>
          <w:szCs w:val="32"/>
        </w:rPr>
        <w:t>年</w:t>
      </w:r>
      <w:r>
        <w:rPr>
          <w:rFonts w:hint="eastAsia" w:eastAsia="仿宋_GB2312"/>
          <w:sz w:val="32"/>
          <w:szCs w:val="32"/>
        </w:rPr>
        <w:t>6</w:t>
      </w:r>
      <w:r>
        <w:rPr>
          <w:rFonts w:eastAsia="仿宋_GB2312"/>
          <w:sz w:val="32"/>
          <w:szCs w:val="32"/>
        </w:rPr>
        <w:t>月2</w:t>
      </w:r>
      <w:r>
        <w:rPr>
          <w:rFonts w:hint="eastAsia" w:eastAsia="仿宋_GB2312"/>
          <w:sz w:val="32"/>
          <w:szCs w:val="32"/>
        </w:rPr>
        <w:t>7</w:t>
      </w:r>
      <w:r>
        <w:rPr>
          <w:rFonts w:eastAsia="仿宋_GB2312"/>
          <w:sz w:val="32"/>
          <w:szCs w:val="32"/>
        </w:rPr>
        <w:t>日</w:t>
      </w:r>
      <w:r>
        <w:rPr>
          <w:rFonts w:hint="eastAsia" w:eastAsia="仿宋_GB2312"/>
          <w:sz w:val="32"/>
          <w:szCs w:val="32"/>
        </w:rPr>
        <w:t>开展了油库区重大危险源粗苯</w:t>
      </w:r>
      <w:r>
        <w:rPr>
          <w:rFonts w:hint="eastAsia" w:eastAsia="仿宋_GB2312"/>
          <w:sz w:val="32"/>
          <w:szCs w:val="32"/>
          <w:lang w:val="en-US" w:eastAsia="zh-CN"/>
        </w:rPr>
        <w:t>泄漏</w:t>
      </w:r>
      <w:r>
        <w:rPr>
          <w:rFonts w:eastAsia="仿宋_GB2312"/>
          <w:sz w:val="32"/>
          <w:szCs w:val="32"/>
        </w:rPr>
        <w:t>专项应急演练</w:t>
      </w:r>
      <w:r>
        <w:rPr>
          <w:rFonts w:hint="eastAsia" w:eastAsia="仿宋_GB2312"/>
          <w:sz w:val="32"/>
          <w:szCs w:val="32"/>
        </w:rPr>
        <w:t>；</w:t>
      </w:r>
      <w:r>
        <w:rPr>
          <w:rFonts w:eastAsia="仿宋_GB2312"/>
          <w:sz w:val="32"/>
          <w:szCs w:val="32"/>
        </w:rPr>
        <w:t>202</w:t>
      </w:r>
      <w:r>
        <w:rPr>
          <w:rFonts w:hint="eastAsia" w:eastAsia="仿宋_GB2312"/>
          <w:sz w:val="32"/>
          <w:szCs w:val="32"/>
        </w:rPr>
        <w:t>4</w:t>
      </w:r>
      <w:r>
        <w:rPr>
          <w:rFonts w:eastAsia="仿宋_GB2312"/>
          <w:sz w:val="32"/>
          <w:szCs w:val="32"/>
        </w:rPr>
        <w:t>年</w:t>
      </w:r>
      <w:r>
        <w:rPr>
          <w:rFonts w:hint="eastAsia" w:eastAsia="仿宋_GB2312"/>
          <w:sz w:val="32"/>
          <w:szCs w:val="32"/>
        </w:rPr>
        <w:t>6</w:t>
      </w:r>
      <w:r>
        <w:rPr>
          <w:rFonts w:eastAsia="仿宋_GB2312"/>
          <w:sz w:val="32"/>
          <w:szCs w:val="32"/>
        </w:rPr>
        <w:t>月2</w:t>
      </w:r>
      <w:r>
        <w:rPr>
          <w:rFonts w:hint="eastAsia" w:eastAsia="仿宋_GB2312"/>
          <w:sz w:val="32"/>
          <w:szCs w:val="32"/>
        </w:rPr>
        <w:t>8</w:t>
      </w:r>
      <w:r>
        <w:rPr>
          <w:rFonts w:eastAsia="仿宋_GB2312"/>
          <w:sz w:val="32"/>
          <w:szCs w:val="32"/>
        </w:rPr>
        <w:t>日</w:t>
      </w:r>
      <w:r>
        <w:rPr>
          <w:rFonts w:hint="eastAsia" w:eastAsia="仿宋_GB2312"/>
          <w:sz w:val="32"/>
          <w:szCs w:val="32"/>
        </w:rPr>
        <w:t>开展了粗苯工段重大危险源粗苯泄漏</w:t>
      </w:r>
      <w:r>
        <w:rPr>
          <w:rFonts w:eastAsia="仿宋_GB2312"/>
          <w:sz w:val="32"/>
          <w:szCs w:val="32"/>
        </w:rPr>
        <w:t>专项应急演练</w:t>
      </w:r>
      <w:r>
        <w:rPr>
          <w:rFonts w:hint="eastAsia" w:eastAsia="仿宋_GB2312"/>
          <w:sz w:val="32"/>
          <w:szCs w:val="32"/>
        </w:rPr>
        <w:t>。2024年2月18日，脱硫工段开展了1</w:t>
      </w:r>
      <w:r>
        <w:rPr>
          <w:rFonts w:hint="eastAsia" w:eastAsia="仿宋_GB2312"/>
          <w:sz w:val="32"/>
          <w:szCs w:val="32"/>
          <w:vertAlign w:val="superscript"/>
        </w:rPr>
        <w:t>#</w:t>
      </w:r>
      <w:r>
        <w:rPr>
          <w:rFonts w:hint="eastAsia" w:eastAsia="仿宋_GB2312"/>
          <w:sz w:val="32"/>
          <w:szCs w:val="32"/>
        </w:rPr>
        <w:t>脱硫液泵出口阀门垫片泄漏应急处置演练活动；2024年6月开展脱硫南塔煤气进口管道螺栓松动人员中毒应急预案演练。事故现场脱硫工段厂房2楼平台配备有事故应急库及相应的应急设备器材。事故发生后，现场作业人员及相关救援人员相互配合，及时开展了救援。</w:t>
      </w:r>
    </w:p>
    <w:p w14:paraId="5E6541EC">
      <w:pPr>
        <w:pStyle w:val="3"/>
        <w:autoSpaceDE w:val="0"/>
        <w:autoSpaceDN w:val="0"/>
        <w:spacing w:line="560" w:lineRule="exact"/>
        <w:ind w:left="0" w:firstLine="640" w:firstLineChars="200"/>
        <w:jc w:val="left"/>
        <w:rPr>
          <w:rFonts w:hint="eastAsia" w:ascii="黑体" w:hAnsi="黑体" w:eastAsia="黑体"/>
          <w:b w:val="0"/>
          <w:bCs w:val="0"/>
          <w:color w:val="000000"/>
          <w:lang w:bidi="zh-CN"/>
        </w:rPr>
      </w:pPr>
      <w:bookmarkStart w:id="92" w:name="_Toc3945"/>
      <w:r>
        <w:rPr>
          <w:rFonts w:hint="eastAsia" w:ascii="黑体" w:hAnsi="黑体" w:eastAsia="黑体"/>
          <w:b w:val="0"/>
          <w:bCs w:val="0"/>
          <w:color w:val="000000"/>
          <w:lang w:bidi="zh-CN"/>
        </w:rPr>
        <w:t>三、</w:t>
      </w:r>
      <w:r>
        <w:rPr>
          <w:rFonts w:hint="eastAsia" w:ascii="黑体" w:hAnsi="黑体" w:eastAsia="黑体"/>
          <w:b w:val="0"/>
          <w:bCs w:val="0"/>
          <w:color w:val="000000"/>
          <w:lang w:val="zh-CN" w:bidi="zh-CN"/>
        </w:rPr>
        <w:t>事故原因分析</w:t>
      </w:r>
      <w:bookmarkEnd w:id="39"/>
      <w:bookmarkEnd w:id="63"/>
      <w:bookmarkEnd w:id="92"/>
      <w:bookmarkStart w:id="93" w:name="_Toc160611374"/>
      <w:bookmarkStart w:id="94" w:name="_Toc1613"/>
    </w:p>
    <w:p w14:paraId="6B63C230">
      <w:pPr>
        <w:pStyle w:val="7"/>
        <w:ind w:firstLine="707" w:firstLineChars="221"/>
        <w:outlineLvl w:val="1"/>
        <w:rPr>
          <w:rFonts w:ascii="楷体" w:hAnsi="楷体" w:eastAsia="楷体" w:cs="楷体"/>
        </w:rPr>
      </w:pPr>
      <w:bookmarkStart w:id="95" w:name="_Toc10722"/>
      <w:r>
        <w:rPr>
          <w:rFonts w:hint="eastAsia" w:ascii="楷体" w:hAnsi="楷体" w:eastAsia="楷体" w:cs="楷体"/>
        </w:rPr>
        <w:t>（一）直接原因</w:t>
      </w:r>
      <w:bookmarkEnd w:id="93"/>
      <w:bookmarkEnd w:id="94"/>
      <w:bookmarkEnd w:id="95"/>
      <w:r>
        <w:rPr>
          <w:rFonts w:hint="eastAsia" w:ascii="楷体" w:hAnsi="楷体" w:eastAsia="楷体" w:cs="楷体"/>
        </w:rPr>
        <w:t>分析</w:t>
      </w:r>
    </w:p>
    <w:p w14:paraId="440C8D0D">
      <w:pPr>
        <w:pStyle w:val="7"/>
        <w:ind w:firstLine="707" w:firstLineChars="221"/>
        <w:rPr>
          <w:rFonts w:ascii="楷体" w:hAnsi="楷体" w:eastAsia="楷体" w:cs="楷体"/>
        </w:rPr>
      </w:pPr>
      <w:r>
        <w:rPr>
          <w:rFonts w:hint="eastAsia"/>
        </w:rPr>
        <w:t>本次事故的直接原因为：维检修人员文小中安全意识淡薄，对维检修作业对现场焊板缺陷风险辨识与隐患排查不到位，不慎踩到存在缺陷的原封闭不锈钢板上面，导致不锈钢板与本人一同掉落硫泡沫槽内，导致事故发生。</w:t>
      </w:r>
    </w:p>
    <w:p w14:paraId="59E1BCE8">
      <w:pPr>
        <w:pStyle w:val="4"/>
        <w:spacing w:before="0" w:beforeAutospacing="0" w:after="0" w:afterAutospacing="0" w:line="560" w:lineRule="exact"/>
        <w:ind w:firstLine="640" w:firstLineChars="200"/>
        <w:rPr>
          <w:rFonts w:hint="default" w:ascii="楷体_GB2312" w:hAnsi="楷体_GB2312" w:eastAsia="楷体_GB2312" w:cs="楷体_GB2312"/>
          <w:b w:val="0"/>
          <w:bCs w:val="0"/>
          <w:sz w:val="32"/>
          <w:szCs w:val="32"/>
        </w:rPr>
      </w:pPr>
      <w:bookmarkStart w:id="96" w:name="_Toc23724"/>
      <w:bookmarkStart w:id="97" w:name="_Toc160611375"/>
      <w:bookmarkStart w:id="98" w:name="_Toc12075"/>
      <w:r>
        <w:rPr>
          <w:rFonts w:ascii="楷体_GB2312" w:hAnsi="楷体_GB2312" w:eastAsia="楷体_GB2312" w:cs="楷体_GB2312"/>
          <w:b w:val="0"/>
          <w:bCs w:val="0"/>
          <w:sz w:val="32"/>
          <w:szCs w:val="32"/>
        </w:rPr>
        <w:t>（二）间接原因</w:t>
      </w:r>
      <w:bookmarkEnd w:id="96"/>
      <w:bookmarkEnd w:id="97"/>
      <w:bookmarkEnd w:id="98"/>
      <w:r>
        <w:rPr>
          <w:rFonts w:ascii="楷体_GB2312" w:hAnsi="楷体_GB2312" w:eastAsia="楷体_GB2312" w:cs="楷体_GB2312"/>
          <w:b w:val="0"/>
          <w:bCs w:val="0"/>
          <w:sz w:val="32"/>
          <w:szCs w:val="32"/>
        </w:rPr>
        <w:t xml:space="preserve">分析 </w:t>
      </w:r>
    </w:p>
    <w:p w14:paraId="59190222">
      <w:pPr>
        <w:spacing w:line="560" w:lineRule="exact"/>
        <w:ind w:firstLine="640" w:firstLineChars="200"/>
        <w:rPr>
          <w:rFonts w:ascii="楷体_GB2312" w:hAnsi="楷体_GB2312" w:eastAsia="楷体_GB2312" w:cs="楷体_GB2312"/>
          <w:kern w:val="2"/>
          <w:sz w:val="32"/>
          <w:szCs w:val="32"/>
        </w:rPr>
      </w:pPr>
      <w:r>
        <w:rPr>
          <w:rFonts w:hint="eastAsia" w:ascii="楷体" w:hAnsi="楷体" w:eastAsia="楷体" w:cs="楷体"/>
          <w:sz w:val="32"/>
          <w:szCs w:val="32"/>
        </w:rPr>
        <w:t>1.</w:t>
      </w:r>
      <w:r>
        <w:rPr>
          <w:rFonts w:hint="eastAsia" w:ascii="楷体_GB2312" w:hAnsi="楷体_GB2312" w:eastAsia="楷体_GB2312" w:cs="楷体_GB2312"/>
          <w:kern w:val="2"/>
          <w:sz w:val="32"/>
          <w:szCs w:val="32"/>
        </w:rPr>
        <w:t>事故发生单位安全生产责任制落实不到位</w:t>
      </w:r>
    </w:p>
    <w:p w14:paraId="47B4A9DC">
      <w:pPr>
        <w:spacing w:line="600" w:lineRule="exact"/>
        <w:ind w:firstLine="640" w:firstLineChars="200"/>
        <w:jc w:val="left"/>
        <w:rPr>
          <w:rFonts w:eastAsia="仿宋_GB2312"/>
          <w:sz w:val="32"/>
          <w:szCs w:val="32"/>
        </w:rPr>
      </w:pPr>
      <w:r>
        <w:rPr>
          <w:rFonts w:hint="eastAsia" w:eastAsia="仿宋_GB2312"/>
          <w:sz w:val="32"/>
          <w:szCs w:val="32"/>
        </w:rPr>
        <w:t>2</w:t>
      </w:r>
      <w:r>
        <w:rPr>
          <w:rFonts w:hint="eastAsia" w:eastAsia="仿宋_GB2312"/>
          <w:sz w:val="32"/>
          <w:szCs w:val="32"/>
          <w:vertAlign w:val="superscript"/>
        </w:rPr>
        <w:t>#</w:t>
      </w:r>
      <w:r>
        <w:rPr>
          <w:rFonts w:hint="eastAsia" w:eastAsia="仿宋_GB2312"/>
          <w:sz w:val="32"/>
          <w:szCs w:val="32"/>
        </w:rPr>
        <w:t>硫泡沫槽顶北侧进料管为2013年4月改造增加的管道，为了设置管道进料口，改造人员在硫泡沫槽顶板上切割下尺寸为60*90cm的钢板，并在该钢板中心切割出直径约为10cm的进料管道穿越口后，又将该钢板加装支撑点放回管道进料口原位置进行焊接复位，仅对6个支撑点进行了焊接。改造工作结束后经历了长达11年时间的运行，焊接处腐蚀锈蚀以及进料管道变形产生应力影响焊板的牢固性与稳定性，长期以来该处存在的设备缺陷隐患未被发现及治理，安全生产责任制落实不到位是造成本次事故发生的主要原因。</w:t>
      </w:r>
    </w:p>
    <w:p w14:paraId="54B8BC0B">
      <w:pPr>
        <w:spacing w:line="560" w:lineRule="exact"/>
        <w:ind w:firstLine="640" w:firstLineChars="200"/>
        <w:rPr>
          <w:rFonts w:ascii="楷体_GB2312" w:hAnsi="楷体_GB2312" w:eastAsia="楷体_GB2312" w:cs="楷体_GB2312"/>
          <w:kern w:val="2"/>
          <w:sz w:val="32"/>
          <w:szCs w:val="32"/>
        </w:rPr>
      </w:pPr>
      <w:bookmarkStart w:id="99" w:name="_Hlk156731311"/>
      <w:r>
        <w:rPr>
          <w:rFonts w:hint="eastAsia" w:ascii="楷体_GB2312" w:hAnsi="楷体_GB2312" w:eastAsia="楷体_GB2312" w:cs="楷体_GB2312"/>
          <w:kern w:val="2"/>
          <w:sz w:val="32"/>
          <w:szCs w:val="32"/>
        </w:rPr>
        <w:t>2.双重预防机制落实不到位</w:t>
      </w:r>
    </w:p>
    <w:p w14:paraId="35B9805C">
      <w:pPr>
        <w:spacing w:line="600" w:lineRule="exact"/>
        <w:ind w:firstLine="640" w:firstLineChars="200"/>
        <w:jc w:val="left"/>
        <w:rPr>
          <w:rFonts w:eastAsia="仿宋_GB2312"/>
          <w:sz w:val="32"/>
          <w:szCs w:val="32"/>
        </w:rPr>
      </w:pPr>
      <w:r>
        <w:rPr>
          <w:rFonts w:hint="eastAsia" w:eastAsia="仿宋_GB2312"/>
          <w:sz w:val="32"/>
          <w:szCs w:val="32"/>
        </w:rPr>
        <w:t>2</w:t>
      </w:r>
      <w:r>
        <w:rPr>
          <w:rFonts w:hint="eastAsia" w:eastAsia="仿宋_GB2312"/>
          <w:sz w:val="32"/>
          <w:szCs w:val="32"/>
          <w:vertAlign w:val="superscript"/>
        </w:rPr>
        <w:t>#</w:t>
      </w:r>
      <w:r>
        <w:rPr>
          <w:rFonts w:hint="eastAsia" w:eastAsia="仿宋_GB2312"/>
          <w:sz w:val="32"/>
          <w:szCs w:val="32"/>
        </w:rPr>
        <w:t>硫泡沫槽顶部改造后的密封不锈钢板焊接处腐蚀，存在安全隐患，设备点检和隐患排查均未能及时发现该处安全隐患，未能及时得到整改。企业风险分级管控与隐患排查治理双重预防机制落实不到位是造成本次事故发生的重要原因。</w:t>
      </w:r>
    </w:p>
    <w:bookmarkEnd w:id="99"/>
    <w:p w14:paraId="12B72D9D">
      <w:pPr>
        <w:spacing w:line="600" w:lineRule="exact"/>
        <w:ind w:firstLine="640" w:firstLineChars="200"/>
        <w:jc w:val="left"/>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3.维检修作业安全管理不到位</w:t>
      </w:r>
    </w:p>
    <w:p w14:paraId="5897A7F2">
      <w:pPr>
        <w:spacing w:line="600" w:lineRule="exact"/>
        <w:ind w:firstLine="640" w:firstLineChars="200"/>
        <w:jc w:val="left"/>
        <w:rPr>
          <w:rFonts w:eastAsia="仿宋_GB2312"/>
          <w:sz w:val="32"/>
          <w:szCs w:val="32"/>
        </w:rPr>
      </w:pPr>
      <w:r>
        <w:rPr>
          <w:rFonts w:hint="eastAsia" w:eastAsia="仿宋_GB2312"/>
          <w:sz w:val="32"/>
          <w:szCs w:val="32"/>
        </w:rPr>
        <w:t>本次2</w:t>
      </w:r>
      <w:r>
        <w:rPr>
          <w:rFonts w:hint="eastAsia" w:eastAsia="仿宋_GB2312"/>
          <w:sz w:val="32"/>
          <w:szCs w:val="32"/>
          <w:vertAlign w:val="superscript"/>
        </w:rPr>
        <w:t>#</w:t>
      </w:r>
      <w:r>
        <w:rPr>
          <w:rFonts w:hint="eastAsia" w:eastAsia="仿宋_GB2312"/>
          <w:sz w:val="32"/>
          <w:szCs w:val="32"/>
        </w:rPr>
        <w:t>硫泡沫槽顶部搅拌机电机维护保养作业前，虽然对作业区域及作业过程进行了风险辨识，但风险辨识不全面，也未有效辨识出泡沫槽顶板原封闭的不锈钢板焊接处腐蚀锈蚀，存有掉落的风险。维检修前风险辨识不到位、安全培训教育与安全交底不到位是导致本次事故发生的又一重要原因。</w:t>
      </w:r>
    </w:p>
    <w:p w14:paraId="37F55994">
      <w:pPr>
        <w:pStyle w:val="36"/>
        <w:adjustRightInd w:val="0"/>
        <w:snapToGrid w:val="0"/>
        <w:spacing w:line="560" w:lineRule="exact"/>
        <w:ind w:left="0" w:leftChars="0" w:firstLine="640"/>
        <w:outlineLvl w:val="0"/>
        <w:rPr>
          <w:rFonts w:ascii="黑体" w:hAnsi="黑体" w:eastAsia="黑体" w:cs="黑体"/>
          <w:sz w:val="32"/>
          <w:szCs w:val="32"/>
        </w:rPr>
      </w:pPr>
      <w:bookmarkStart w:id="100" w:name="_Toc1437"/>
      <w:bookmarkStart w:id="101" w:name="_Toc9852"/>
      <w:bookmarkStart w:id="102" w:name="_Toc3838"/>
      <w:bookmarkStart w:id="103" w:name="_Toc1798"/>
      <w:bookmarkStart w:id="104" w:name="_Toc32365"/>
      <w:bookmarkStart w:id="105" w:name="_Toc24500"/>
      <w:bookmarkStart w:id="106" w:name="_Toc29950"/>
      <w:bookmarkStart w:id="107" w:name="_Toc28363"/>
      <w:bookmarkStart w:id="108" w:name="_Toc10138"/>
      <w:bookmarkStart w:id="109" w:name="_Toc24418"/>
      <w:bookmarkStart w:id="110" w:name="_Toc10333"/>
      <w:bookmarkStart w:id="111" w:name="_Toc20910"/>
      <w:bookmarkStart w:id="112" w:name="_Toc160611377"/>
      <w:r>
        <w:rPr>
          <w:rFonts w:hint="eastAsia" w:ascii="黑体" w:hAnsi="黑体" w:eastAsia="黑体" w:cs="黑体"/>
          <w:sz w:val="32"/>
          <w:szCs w:val="32"/>
        </w:rPr>
        <w:t>四、有关责任</w:t>
      </w:r>
      <w:bookmarkEnd w:id="100"/>
      <w:bookmarkEnd w:id="101"/>
      <w:bookmarkEnd w:id="102"/>
      <w:bookmarkEnd w:id="103"/>
      <w:bookmarkEnd w:id="104"/>
      <w:bookmarkEnd w:id="105"/>
      <w:bookmarkEnd w:id="106"/>
      <w:bookmarkEnd w:id="107"/>
      <w:bookmarkEnd w:id="108"/>
      <w:r>
        <w:rPr>
          <w:rFonts w:hint="eastAsia" w:ascii="黑体" w:hAnsi="黑体" w:eastAsia="黑体" w:cs="黑体"/>
          <w:sz w:val="32"/>
          <w:szCs w:val="32"/>
        </w:rPr>
        <w:t>单位存在的主要问题</w:t>
      </w:r>
      <w:bookmarkEnd w:id="109"/>
      <w:bookmarkEnd w:id="110"/>
    </w:p>
    <w:bookmarkEnd w:id="111"/>
    <w:bookmarkEnd w:id="112"/>
    <w:p w14:paraId="31BF94C6">
      <w:pPr>
        <w:spacing w:line="560" w:lineRule="exact"/>
        <w:ind w:firstLine="640" w:firstLineChars="200"/>
        <w:outlineLvl w:val="1"/>
        <w:rPr>
          <w:rFonts w:ascii="楷体_GB2312" w:hAnsi="楷体_GB2312" w:eastAsia="楷体_GB2312" w:cs="楷体_GB2312"/>
          <w:kern w:val="2"/>
          <w:sz w:val="32"/>
          <w:szCs w:val="32"/>
        </w:rPr>
      </w:pPr>
      <w:bookmarkStart w:id="113" w:name="_Toc11430"/>
      <w:bookmarkStart w:id="114" w:name="_Toc21828"/>
      <w:bookmarkStart w:id="115" w:name="_Toc27793"/>
      <w:bookmarkStart w:id="116" w:name="_Toc11104"/>
      <w:r>
        <w:rPr>
          <w:rFonts w:hint="eastAsia" w:ascii="楷体_GB2312" w:hAnsi="楷体_GB2312" w:eastAsia="楷体_GB2312" w:cs="楷体_GB2312"/>
          <w:kern w:val="2"/>
          <w:sz w:val="32"/>
          <w:szCs w:val="32"/>
        </w:rPr>
        <w:t>（一）</w:t>
      </w:r>
      <w:bookmarkEnd w:id="113"/>
      <w:r>
        <w:rPr>
          <w:rFonts w:hint="eastAsia" w:ascii="楷体_GB2312" w:hAnsi="楷体_GB2312" w:eastAsia="楷体_GB2312" w:cs="楷体_GB2312"/>
          <w:kern w:val="2"/>
          <w:sz w:val="32"/>
          <w:szCs w:val="32"/>
        </w:rPr>
        <w:t>事故企业存在的主要问题</w:t>
      </w:r>
      <w:bookmarkEnd w:id="114"/>
      <w:bookmarkEnd w:id="115"/>
    </w:p>
    <w:p w14:paraId="0F3A061A">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1.阳光焦化</w:t>
      </w:r>
      <w:bookmarkStart w:id="161" w:name="_GoBack"/>
      <w:bookmarkEnd w:id="161"/>
      <w:r>
        <w:rPr>
          <w:rFonts w:hint="eastAsia" w:ascii="楷体_GB2312" w:hAnsi="楷体_GB2312" w:eastAsia="楷体_GB2312" w:cs="楷体_GB2312"/>
          <w:kern w:val="2"/>
          <w:sz w:val="32"/>
          <w:szCs w:val="32"/>
        </w:rPr>
        <w:t>厂安全生产责任制落实不到位</w:t>
      </w:r>
    </w:p>
    <w:p w14:paraId="3DF668D6">
      <w:pPr>
        <w:spacing w:line="560" w:lineRule="exact"/>
        <w:ind w:firstLine="640" w:firstLineChars="200"/>
        <w:rPr>
          <w:rFonts w:eastAsia="仿宋_GB2312"/>
          <w:sz w:val="32"/>
          <w:szCs w:val="32"/>
        </w:rPr>
      </w:pPr>
      <w:r>
        <w:rPr>
          <w:rFonts w:hint="eastAsia" w:eastAsia="仿宋_GB2312"/>
          <w:sz w:val="32"/>
          <w:szCs w:val="32"/>
        </w:rPr>
        <w:t>在执行公司《安全生产责任制》过程中，对基层生产单位的安全生产责任制落实情况督促不力，在实际安全生产管理过程中，存在安全生产责任制落实不到位的问题，导致2013年4月对受限空间硫泡沫槽顶板进料口改造时不锈钢顶板焊接不到位。</w:t>
      </w:r>
    </w:p>
    <w:p w14:paraId="606924C4">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2.阳光焦化厂双预防机制落实不到位</w:t>
      </w:r>
    </w:p>
    <w:p w14:paraId="15D3DE14">
      <w:pPr>
        <w:spacing w:line="560" w:lineRule="exact"/>
        <w:ind w:firstLine="640" w:firstLineChars="200"/>
        <w:rPr>
          <w:rFonts w:ascii="仿宋_GB2312" w:hAnsi="仿宋_GB2312" w:eastAsia="仿宋_GB2312" w:cs="仿宋_GB2312"/>
          <w:sz w:val="32"/>
          <w:szCs w:val="32"/>
        </w:rPr>
      </w:pPr>
      <w:r>
        <w:rPr>
          <w:rFonts w:hint="eastAsia" w:eastAsia="仿宋_GB2312"/>
          <w:sz w:val="32"/>
          <w:szCs w:val="32"/>
        </w:rPr>
        <w:t>企业虽然编制了双重预防机制报告，建立了双预防数字化信息平台，厂里每周二组织各工段长进行综合安全检查，日常设备巡检由岗位员工每2小时巡检一次，隐患排查按照双预防数字化系统执行。但风险分级管控及检维修前风险辨识过程中，都未辨识出硫泡沫槽顶板进料口焊接顶板安全风险及腐蚀锈蚀可能导致焊板脱落的风险，未采取可靠的风险管控措施。多年来在厂、装置区、检修班组的综合检查、专项检查、日常巡查和隐患排查治理过程中，均未排查出顶板焊接不到位、腐蚀锈蚀、进料管道变形移位产生应力影响焊点牢固性与钢板稳</w:t>
      </w:r>
      <w:r>
        <w:rPr>
          <w:rFonts w:hint="eastAsia" w:ascii="仿宋_GB2312" w:hAnsi="仿宋_GB2312" w:eastAsia="仿宋_GB2312" w:cs="仿宋_GB2312"/>
          <w:sz w:val="32"/>
          <w:szCs w:val="32"/>
        </w:rPr>
        <w:t>定性的隐患。</w:t>
      </w:r>
    </w:p>
    <w:p w14:paraId="721466D4">
      <w:pPr>
        <w:spacing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3.维检修安全管理存在不足</w:t>
      </w:r>
    </w:p>
    <w:p w14:paraId="16BCC37D">
      <w:pPr>
        <w:spacing w:line="560" w:lineRule="exact"/>
        <w:ind w:firstLine="640" w:firstLineChars="200"/>
        <w:rPr>
          <w:rFonts w:eastAsia="仿宋_GB2312"/>
          <w:sz w:val="32"/>
          <w:szCs w:val="32"/>
        </w:rPr>
      </w:pPr>
      <w:r>
        <w:rPr>
          <w:rFonts w:hint="eastAsia" w:eastAsia="仿宋_GB2312"/>
          <w:sz w:val="32"/>
          <w:szCs w:val="32"/>
        </w:rPr>
        <w:t>检维修作业虽然制定有检维修管理制度、特殊作业管理制度、设备检修规程等，一般维检修作业执行《作业分析表（JSA）》《安全专业许可证》。但维检修作业前安全风险辨识、安全培训教育、安全技术交底工作不细不实，作业人员安全意识不强，风险防范管控措施不到位。</w:t>
      </w:r>
    </w:p>
    <w:p w14:paraId="57A497E9">
      <w:pPr>
        <w:pStyle w:val="36"/>
        <w:adjustRightInd w:val="0"/>
        <w:snapToGrid w:val="0"/>
        <w:spacing w:line="560" w:lineRule="exact"/>
        <w:ind w:left="0" w:leftChars="0" w:firstLine="640"/>
        <w:outlineLvl w:val="1"/>
        <w:rPr>
          <w:rFonts w:ascii="楷体" w:hAnsi="楷体" w:eastAsia="楷体" w:cs="楷体"/>
          <w:sz w:val="32"/>
          <w:szCs w:val="32"/>
        </w:rPr>
      </w:pPr>
      <w:bookmarkStart w:id="117" w:name="_Toc2339"/>
      <w:bookmarkStart w:id="118" w:name="_Toc16327"/>
      <w:bookmarkStart w:id="119" w:name="_Toc28910"/>
      <w:r>
        <w:rPr>
          <w:rFonts w:hint="eastAsia" w:ascii="楷体" w:hAnsi="楷体" w:eastAsia="楷体" w:cs="楷体"/>
          <w:sz w:val="32"/>
          <w:szCs w:val="32"/>
        </w:rPr>
        <w:t>（二）有关主管</w:t>
      </w:r>
      <w:bookmarkEnd w:id="117"/>
      <w:r>
        <w:rPr>
          <w:rFonts w:hint="eastAsia" w:ascii="楷体" w:hAnsi="楷体" w:eastAsia="楷体" w:cs="楷体"/>
          <w:sz w:val="32"/>
          <w:szCs w:val="32"/>
        </w:rPr>
        <w:t>部门存在的主要问题</w:t>
      </w:r>
      <w:bookmarkEnd w:id="118"/>
      <w:bookmarkEnd w:id="119"/>
    </w:p>
    <w:p w14:paraId="619A4B2D">
      <w:pPr>
        <w:pStyle w:val="36"/>
        <w:adjustRightInd w:val="0"/>
        <w:snapToGrid w:val="0"/>
        <w:spacing w:line="560" w:lineRule="exact"/>
        <w:ind w:left="0" w:leftChars="0" w:firstLine="640"/>
        <w:rPr>
          <w:rFonts w:ascii="楷体_GB2312" w:hAnsi="楷体_GB2312" w:eastAsia="楷体_GB2312" w:cs="楷体_GB2312"/>
          <w:b/>
          <w:bCs/>
          <w:sz w:val="32"/>
          <w:szCs w:val="32"/>
        </w:rPr>
      </w:pPr>
      <w:r>
        <w:rPr>
          <w:rFonts w:hint="eastAsia" w:ascii="楷体" w:hAnsi="楷体" w:eastAsia="楷体" w:cs="楷体"/>
          <w:sz w:val="32"/>
          <w:szCs w:val="32"/>
        </w:rPr>
        <w:t>1.河津经济技术开发区综合执法局安全监管不到位</w:t>
      </w:r>
    </w:p>
    <w:p w14:paraId="029FF88A">
      <w:pPr>
        <w:pStyle w:val="36"/>
        <w:adjustRightInd w:val="0"/>
        <w:snapToGrid w:val="0"/>
        <w:spacing w:line="560" w:lineRule="exact"/>
        <w:ind w:left="0" w:leftChars="0" w:firstLine="640"/>
        <w:rPr>
          <w:rFonts w:ascii="Times New Roman" w:hAnsi="Times New Roman" w:eastAsia="仿宋_GB2312"/>
          <w:sz w:val="32"/>
          <w:szCs w:val="32"/>
        </w:rPr>
      </w:pPr>
      <w:r>
        <w:rPr>
          <w:rFonts w:hint="eastAsia" w:ascii="Times New Roman" w:hAnsi="Times New Roman" w:eastAsia="仿宋_GB2312"/>
          <w:sz w:val="32"/>
          <w:szCs w:val="32"/>
        </w:rPr>
        <w:t>作为安全监管部门，虽然对阳光焦化厂进行过安全生产检查、也排查过安全隐患，但该企业仍然存在安全风险管控措施不到位，存在工作不认真，履职不到位，安全监管能力不足的问题。对此起事故负有安全监管责任。</w:t>
      </w:r>
    </w:p>
    <w:p w14:paraId="46C539D3">
      <w:p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2.河津市清涧街道办事处检查督促不力</w:t>
      </w:r>
    </w:p>
    <w:p w14:paraId="583BF0B9">
      <w:pPr>
        <w:pStyle w:val="36"/>
        <w:adjustRightInd w:val="0"/>
        <w:snapToGrid w:val="0"/>
        <w:spacing w:line="560" w:lineRule="exact"/>
        <w:ind w:left="0" w:leftChars="0" w:firstLine="640"/>
        <w:rPr>
          <w:rFonts w:ascii="Times New Roman" w:hAnsi="Times New Roman" w:eastAsia="仿宋_GB2312"/>
          <w:sz w:val="32"/>
          <w:szCs w:val="32"/>
        </w:rPr>
      </w:pPr>
      <w:r>
        <w:rPr>
          <w:rFonts w:hint="eastAsia" w:ascii="Times New Roman" w:hAnsi="Times New Roman" w:eastAsia="仿宋_GB2312"/>
          <w:sz w:val="32"/>
          <w:szCs w:val="32"/>
        </w:rPr>
        <w:t>作为分级属地管理部门，在安全检查过程中，未能及时发现阳光焦化厂安全管理工作中存在的漏洞，检查督促该企业安全隐患排查工作不力，存在安全生产管理职责履行不到位的问题。对此起事故负有属地安全管理责任。</w:t>
      </w:r>
    </w:p>
    <w:p w14:paraId="084D741C">
      <w:pPr>
        <w:pStyle w:val="18"/>
        <w:widowControl w:val="0"/>
        <w:adjustRightInd w:val="0"/>
        <w:snapToGrid w:val="0"/>
        <w:spacing w:before="0" w:beforeAutospacing="0" w:after="0" w:afterAutospacing="0" w:line="560" w:lineRule="exact"/>
        <w:ind w:firstLine="640" w:firstLineChars="200"/>
        <w:jc w:val="both"/>
        <w:outlineLvl w:val="0"/>
        <w:rPr>
          <w:rFonts w:ascii="黑体" w:hAnsi="黑体" w:eastAsia="黑体" w:cs="黑体"/>
          <w:sz w:val="32"/>
          <w:szCs w:val="32"/>
        </w:rPr>
      </w:pPr>
      <w:bookmarkStart w:id="120" w:name="_Toc26058"/>
      <w:r>
        <w:rPr>
          <w:rFonts w:hint="eastAsia" w:ascii="黑体" w:hAnsi="黑体" w:eastAsia="黑体" w:cs="黑体"/>
          <w:sz w:val="32"/>
          <w:szCs w:val="32"/>
        </w:rPr>
        <w:t>五、有关责任人员和责任单位的处理建议</w:t>
      </w:r>
      <w:bookmarkEnd w:id="116"/>
      <w:bookmarkEnd w:id="120"/>
      <w:bookmarkStart w:id="121" w:name="_Toc24679"/>
      <w:bookmarkStart w:id="122" w:name="_Toc26242"/>
      <w:bookmarkStart w:id="123" w:name="_Toc6796"/>
      <w:bookmarkStart w:id="124" w:name="_Toc443"/>
      <w:bookmarkStart w:id="125" w:name="_Toc26773"/>
    </w:p>
    <w:bookmarkEnd w:id="121"/>
    <w:bookmarkEnd w:id="122"/>
    <w:bookmarkEnd w:id="123"/>
    <w:bookmarkEnd w:id="124"/>
    <w:bookmarkEnd w:id="125"/>
    <w:p w14:paraId="2055503D">
      <w:pPr>
        <w:pStyle w:val="18"/>
        <w:widowControl w:val="0"/>
        <w:adjustRightInd w:val="0"/>
        <w:snapToGrid w:val="0"/>
        <w:spacing w:before="0" w:beforeAutospacing="0" w:after="0" w:afterAutospacing="0" w:line="560" w:lineRule="exact"/>
        <w:ind w:firstLine="640" w:firstLineChars="200"/>
        <w:jc w:val="both"/>
        <w:outlineLvl w:val="1"/>
        <w:rPr>
          <w:rFonts w:ascii="楷体_GB2312" w:hAnsi="楷体_GB2312" w:eastAsia="楷体_GB2312" w:cs="楷体_GB2312"/>
          <w:kern w:val="2"/>
          <w:sz w:val="32"/>
          <w:szCs w:val="32"/>
        </w:rPr>
      </w:pPr>
      <w:bookmarkStart w:id="126" w:name="_Toc2173"/>
      <w:bookmarkStart w:id="127" w:name="_Toc9469"/>
      <w:bookmarkStart w:id="128" w:name="_Toc17332"/>
      <w:bookmarkStart w:id="129" w:name="_Toc23515"/>
      <w:bookmarkStart w:id="130" w:name="_Toc30038"/>
      <w:r>
        <w:rPr>
          <w:rFonts w:hint="eastAsia" w:ascii="楷体_GB2312" w:hAnsi="楷体_GB2312" w:eastAsia="楷体_GB2312" w:cs="楷体_GB2312"/>
          <w:kern w:val="2"/>
          <w:sz w:val="32"/>
          <w:szCs w:val="32"/>
        </w:rPr>
        <w:t>（一）事故单位免于追究责任人员（1人）</w:t>
      </w:r>
      <w:bookmarkEnd w:id="126"/>
      <w:bookmarkEnd w:id="127"/>
      <w:bookmarkEnd w:id="128"/>
      <w:bookmarkEnd w:id="129"/>
    </w:p>
    <w:p w14:paraId="5CB35313">
      <w:pPr>
        <w:spacing w:line="560" w:lineRule="exact"/>
        <w:ind w:firstLine="640" w:firstLineChars="200"/>
        <w:rPr>
          <w:rFonts w:eastAsia="仿宋_GB2312"/>
          <w:sz w:val="32"/>
          <w:szCs w:val="32"/>
        </w:rPr>
      </w:pPr>
      <w:r>
        <w:rPr>
          <w:rFonts w:hint="eastAsia" w:eastAsia="仿宋_GB2312"/>
          <w:sz w:val="32"/>
          <w:szCs w:val="32"/>
        </w:rPr>
        <w:t>文小中，男，汉族，</w:t>
      </w:r>
      <w:r>
        <w:rPr>
          <w:rFonts w:eastAsia="仿宋_GB2312"/>
          <w:sz w:val="32"/>
          <w:szCs w:val="32"/>
        </w:rPr>
        <w:t>3</w:t>
      </w:r>
      <w:r>
        <w:rPr>
          <w:rFonts w:hint="eastAsia" w:eastAsia="仿宋_GB2312"/>
          <w:sz w:val="32"/>
          <w:szCs w:val="32"/>
        </w:rPr>
        <w:t>2</w:t>
      </w:r>
      <w:r>
        <w:rPr>
          <w:rFonts w:eastAsia="仿宋_GB2312"/>
          <w:sz w:val="32"/>
          <w:szCs w:val="32"/>
        </w:rPr>
        <w:t>岁</w:t>
      </w:r>
      <w:r>
        <w:rPr>
          <w:rFonts w:hint="eastAsia" w:eastAsia="仿宋_GB2312"/>
          <w:sz w:val="32"/>
          <w:szCs w:val="32"/>
        </w:rPr>
        <w:t>，阳光焦化厂化产装置区电工。安全意识不强，缺乏基本的风险辨识认知与能力，在属于受限空间的硫泡沫槽顶板上作业过程中，冒险踩踏焊接不牢、腐蚀锈蚀的顶板，造成与脱落的顶板一起跌入硫泡沫槽内中毒后淹溺身亡，对事故负有直接责任。鉴于其在事故中死亡，建议不予追究其法律责任。</w:t>
      </w:r>
    </w:p>
    <w:p w14:paraId="703EC8CD">
      <w:pPr>
        <w:pStyle w:val="18"/>
        <w:widowControl w:val="0"/>
        <w:adjustRightInd w:val="0"/>
        <w:snapToGrid w:val="0"/>
        <w:spacing w:before="0" w:beforeAutospacing="0" w:after="0" w:afterAutospacing="0" w:line="560" w:lineRule="exact"/>
        <w:ind w:firstLine="640" w:firstLineChars="200"/>
        <w:jc w:val="both"/>
        <w:outlineLvl w:val="1"/>
        <w:rPr>
          <w:rFonts w:ascii="仿宋_GB2312" w:hAnsi="仿宋_GB2312" w:eastAsia="仿宋_GB2312" w:cs="仿宋_GB2312"/>
          <w:sz w:val="32"/>
          <w:szCs w:val="32"/>
        </w:rPr>
      </w:pPr>
      <w:bookmarkStart w:id="131" w:name="_Toc15061"/>
      <w:bookmarkStart w:id="132" w:name="_Toc12554"/>
      <w:bookmarkStart w:id="133" w:name="_Toc6476"/>
      <w:bookmarkStart w:id="134" w:name="_Toc3796"/>
      <w:bookmarkStart w:id="135" w:name="_Toc10685"/>
      <w:bookmarkStart w:id="136" w:name="_Toc28800"/>
      <w:bookmarkStart w:id="137" w:name="_Toc23078"/>
      <w:bookmarkStart w:id="138" w:name="_Toc25374"/>
      <w:bookmarkStart w:id="139" w:name="_Toc25283"/>
      <w:r>
        <w:rPr>
          <w:rFonts w:hint="eastAsia" w:ascii="楷体_GB2312" w:hAnsi="楷体_GB2312" w:eastAsia="楷体_GB2312" w:cs="楷体_GB2312"/>
          <w:kern w:val="2"/>
          <w:sz w:val="32"/>
          <w:szCs w:val="32"/>
        </w:rPr>
        <w:t>（二）事故单位责任人员（6人）</w:t>
      </w:r>
      <w:bookmarkEnd w:id="131"/>
      <w:bookmarkEnd w:id="132"/>
      <w:bookmarkEnd w:id="133"/>
      <w:bookmarkEnd w:id="134"/>
      <w:bookmarkEnd w:id="135"/>
      <w:bookmarkEnd w:id="136"/>
      <w:bookmarkEnd w:id="137"/>
      <w:bookmarkEnd w:id="138"/>
      <w:bookmarkEnd w:id="139"/>
    </w:p>
    <w:p w14:paraId="4AB5A41B">
      <w:pPr>
        <w:pStyle w:val="36"/>
        <w:adjustRightInd w:val="0"/>
        <w:snapToGrid w:val="0"/>
        <w:spacing w:line="560" w:lineRule="exact"/>
        <w:ind w:left="0" w:leftChars="0" w:firstLine="640"/>
        <w:rPr>
          <w:rFonts w:eastAsia="仿宋_GB2312"/>
          <w:sz w:val="32"/>
          <w:szCs w:val="32"/>
        </w:rPr>
      </w:pPr>
      <w:r>
        <w:rPr>
          <w:rFonts w:hint="eastAsia" w:ascii="仿宋" w:hAnsi="仿宋" w:eastAsia="仿宋" w:cs="仿宋"/>
          <w:sz w:val="32"/>
          <w:szCs w:val="32"/>
        </w:rPr>
        <w:t>1.</w:t>
      </w:r>
      <w:r>
        <w:rPr>
          <w:rFonts w:hint="eastAsia" w:eastAsia="仿宋_GB2312"/>
          <w:sz w:val="32"/>
          <w:szCs w:val="32"/>
        </w:rPr>
        <w:t>杨杰，男，</w:t>
      </w:r>
      <w:r>
        <w:rPr>
          <w:rFonts w:hint="eastAsia" w:ascii="Times New Roman" w:hAnsi="Times New Roman" w:eastAsia="仿宋_GB2312"/>
          <w:sz w:val="32"/>
          <w:szCs w:val="32"/>
        </w:rPr>
        <w:t>41</w:t>
      </w:r>
      <w:r>
        <w:rPr>
          <w:rFonts w:hint="eastAsia" w:eastAsia="仿宋_GB2312"/>
          <w:sz w:val="32"/>
          <w:szCs w:val="32"/>
        </w:rPr>
        <w:t>岁</w:t>
      </w:r>
      <w:r>
        <w:rPr>
          <w:rFonts w:hint="eastAsia" w:eastAsia="仿宋_GB2312"/>
          <w:sz w:val="32"/>
          <w:szCs w:val="32"/>
          <w:lang w:eastAsia="zh-CN"/>
        </w:rPr>
        <w:t>，</w:t>
      </w:r>
      <w:r>
        <w:rPr>
          <w:rFonts w:hint="eastAsia" w:eastAsia="仿宋_GB2312"/>
          <w:sz w:val="32"/>
          <w:szCs w:val="32"/>
        </w:rPr>
        <w:t>阳光焦化厂化产装置区电工，属于事故现场所在的脱硫工段包片电工，本次搅拌机电机维检修负责人。作业前对焊接不牢、腐蚀锈蚀的不锈钢顶板风险辨识不到位，未排查出进料管道变形移位引起不锈钢顶板失去稳定的隐患，维检修过程安全管理</w:t>
      </w:r>
      <w:r>
        <w:rPr>
          <w:rFonts w:hint="eastAsia" w:eastAsia="仿宋_GB2312"/>
          <w:sz w:val="32"/>
          <w:szCs w:val="32"/>
          <w:lang w:eastAsia="zh-CN"/>
        </w:rPr>
        <w:t>不严不细</w:t>
      </w:r>
      <w:r>
        <w:rPr>
          <w:rFonts w:hint="eastAsia" w:eastAsia="仿宋_GB2312"/>
          <w:sz w:val="32"/>
          <w:szCs w:val="32"/>
        </w:rPr>
        <w:t>，对事故负有直接安全管理责任。违反山西阳光焦化集团股份有限公司安全生产责任制及安全风险分级管控与隐患排查治理制度，</w:t>
      </w:r>
      <w:r>
        <w:rPr>
          <w:rFonts w:eastAsia="仿宋_GB2312"/>
          <w:sz w:val="32"/>
          <w:szCs w:val="32"/>
        </w:rPr>
        <w:t>建议</w:t>
      </w:r>
      <w:r>
        <w:rPr>
          <w:rFonts w:hint="eastAsia" w:eastAsia="仿宋_GB2312"/>
          <w:sz w:val="32"/>
          <w:szCs w:val="32"/>
        </w:rPr>
        <w:t>由阳光焦化厂依照本公司有关安全生产规章制度给予处理。</w:t>
      </w:r>
    </w:p>
    <w:p w14:paraId="0452B687">
      <w:pPr>
        <w:pStyle w:val="36"/>
        <w:adjustRightInd w:val="0"/>
        <w:snapToGrid w:val="0"/>
        <w:spacing w:line="560" w:lineRule="exact"/>
        <w:ind w:left="0" w:leftChars="0" w:firstLine="640"/>
        <w:rPr>
          <w:rFonts w:eastAsia="仿宋_GB2312"/>
          <w:sz w:val="32"/>
          <w:szCs w:val="32"/>
        </w:rPr>
      </w:pPr>
      <w:r>
        <w:rPr>
          <w:rFonts w:hint="eastAsia" w:eastAsia="仿宋_GB2312"/>
          <w:sz w:val="32"/>
          <w:szCs w:val="32"/>
        </w:rPr>
        <w:t>2.李晓勇，男，44岁，阳光焦化厂脱硫工段长。脱硫工段负责人和本次维检修</w:t>
      </w:r>
      <w:r>
        <w:rPr>
          <w:rFonts w:hint="eastAsia" w:ascii="Times New Roman" w:hAnsi="Times New Roman" w:eastAsia="仿宋_GB2312"/>
          <w:sz w:val="32"/>
          <w:szCs w:val="32"/>
        </w:rPr>
        <w:t>《作业分析表（JSA）》编制人、《安全工作许可证》</w:t>
      </w:r>
      <w:r>
        <w:rPr>
          <w:rFonts w:hint="eastAsia" w:eastAsia="仿宋_GB2312"/>
          <w:sz w:val="32"/>
          <w:szCs w:val="32"/>
        </w:rPr>
        <w:t>签发人、作业安全技术交底人，对管辖区域存在的风险与隐患排查治理</w:t>
      </w:r>
      <w:r>
        <w:rPr>
          <w:rFonts w:hint="eastAsia" w:eastAsia="仿宋_GB2312"/>
          <w:sz w:val="32"/>
          <w:szCs w:val="32"/>
          <w:lang w:eastAsia="zh-CN"/>
        </w:rPr>
        <w:t>及</w:t>
      </w:r>
      <w:r>
        <w:rPr>
          <w:rFonts w:hint="eastAsia" w:eastAsia="仿宋_GB2312"/>
          <w:sz w:val="32"/>
          <w:szCs w:val="32"/>
        </w:rPr>
        <w:t>本次维检修现场风险辨识不</w:t>
      </w:r>
      <w:r>
        <w:rPr>
          <w:rFonts w:hint="eastAsia" w:eastAsia="仿宋_GB2312"/>
          <w:sz w:val="32"/>
          <w:szCs w:val="32"/>
          <w:lang w:eastAsia="zh-CN"/>
        </w:rPr>
        <w:t>认真</w:t>
      </w:r>
      <w:r>
        <w:rPr>
          <w:rFonts w:hint="eastAsia" w:eastAsia="仿宋_GB2312"/>
          <w:sz w:val="32"/>
          <w:szCs w:val="32"/>
        </w:rPr>
        <w:t>，负有安全管理责任。违反了山西阳光焦化集团股份有限公司安全生产责任制、安全风险分级管控与隐患排查治理制度，</w:t>
      </w:r>
      <w:r>
        <w:rPr>
          <w:rFonts w:eastAsia="仿宋_GB2312"/>
          <w:sz w:val="32"/>
          <w:szCs w:val="32"/>
        </w:rPr>
        <w:t>建议</w:t>
      </w:r>
      <w:r>
        <w:rPr>
          <w:rFonts w:hint="eastAsia" w:eastAsia="仿宋_GB2312"/>
          <w:sz w:val="32"/>
          <w:szCs w:val="32"/>
        </w:rPr>
        <w:t>由阳光焦化厂依照本公司有关安全生产规章制度给予处理。</w:t>
      </w:r>
    </w:p>
    <w:p w14:paraId="4DBD8FBC">
      <w:pPr>
        <w:ind w:firstLine="640" w:firstLineChars="200"/>
        <w:rPr>
          <w:rFonts w:ascii="Calibri" w:hAnsi="Calibri" w:eastAsia="仿宋_GB2312"/>
          <w:sz w:val="32"/>
          <w:szCs w:val="32"/>
        </w:rPr>
      </w:pPr>
      <w:r>
        <w:rPr>
          <w:rFonts w:hint="eastAsia" w:ascii="Calibri" w:hAnsi="Calibri" w:eastAsia="仿宋_GB2312"/>
          <w:sz w:val="32"/>
          <w:szCs w:val="32"/>
        </w:rPr>
        <w:t xml:space="preserve"> 3.李莎，男，39岁，阳光焦化厂化产装置区设备部主管，负责设备安全管理工作。对脱硫配备槽设备改造存在的不锈钢顶板焊接不牢、腐蚀锈蚀风险辨识</w:t>
      </w:r>
      <w:r>
        <w:rPr>
          <w:rFonts w:hint="eastAsia" w:ascii="Calibri" w:hAnsi="Calibri" w:eastAsia="仿宋_GB2312"/>
          <w:sz w:val="32"/>
          <w:szCs w:val="32"/>
          <w:lang w:eastAsia="zh-CN"/>
        </w:rPr>
        <w:t>失管失察</w:t>
      </w:r>
      <w:r>
        <w:rPr>
          <w:rFonts w:hint="eastAsia" w:ascii="Calibri" w:hAnsi="Calibri" w:eastAsia="仿宋_GB2312"/>
          <w:sz w:val="32"/>
          <w:szCs w:val="32"/>
        </w:rPr>
        <w:t>，负有</w:t>
      </w:r>
      <w:r>
        <w:rPr>
          <w:rFonts w:hint="eastAsia" w:ascii="Calibri" w:hAnsi="Calibri" w:eastAsia="仿宋_GB2312"/>
          <w:sz w:val="32"/>
          <w:szCs w:val="32"/>
          <w:lang w:eastAsia="zh-CN"/>
        </w:rPr>
        <w:t>主要领导</w:t>
      </w:r>
      <w:r>
        <w:rPr>
          <w:rFonts w:hint="eastAsia" w:ascii="Calibri" w:hAnsi="Calibri" w:eastAsia="仿宋_GB2312"/>
          <w:sz w:val="32"/>
          <w:szCs w:val="32"/>
        </w:rPr>
        <w:t xml:space="preserve">责任。违反了山西阳光焦化集团股份有限公司安全生产责任制、安全风险分级管控与隐患排查治理制度，建议由阳光焦化厂依照本公司有关安全生产规章制度给予处理。   </w:t>
      </w:r>
    </w:p>
    <w:p w14:paraId="352BA616">
      <w:pPr>
        <w:pStyle w:val="36"/>
        <w:adjustRightInd w:val="0"/>
        <w:snapToGrid w:val="0"/>
        <w:spacing w:line="560" w:lineRule="exact"/>
        <w:ind w:left="0" w:leftChars="0" w:firstLine="640"/>
        <w:rPr>
          <w:rFonts w:eastAsia="仿宋_GB2312"/>
          <w:sz w:val="32"/>
          <w:szCs w:val="32"/>
        </w:rPr>
      </w:pPr>
      <w:r>
        <w:rPr>
          <w:rFonts w:hint="eastAsia" w:eastAsia="仿宋_GB2312"/>
          <w:sz w:val="32"/>
          <w:szCs w:val="32"/>
        </w:rPr>
        <w:t>4.文增国，男，42岁，阳光焦化厂化产装置区经理，负责化产装置区全面工作。对脱硫配备槽设备改造存在的不锈钢顶板焊接不牢、腐蚀锈蚀风险辨识</w:t>
      </w:r>
      <w:r>
        <w:rPr>
          <w:rFonts w:hint="eastAsia" w:eastAsia="仿宋_GB2312"/>
          <w:sz w:val="32"/>
          <w:szCs w:val="32"/>
          <w:lang w:eastAsia="zh-CN"/>
        </w:rPr>
        <w:t>失管失察</w:t>
      </w:r>
      <w:r>
        <w:rPr>
          <w:rFonts w:hint="eastAsia" w:eastAsia="仿宋_GB2312"/>
          <w:sz w:val="32"/>
          <w:szCs w:val="32"/>
        </w:rPr>
        <w:t>，现场存在的安全风险与隐患长期得不到有效治理，安全生产管理责任制落实不到位等情况，负有</w:t>
      </w:r>
      <w:r>
        <w:rPr>
          <w:rFonts w:hint="eastAsia" w:eastAsia="仿宋_GB2312"/>
          <w:sz w:val="32"/>
          <w:szCs w:val="32"/>
          <w:lang w:eastAsia="zh-CN"/>
        </w:rPr>
        <w:t>重要领导</w:t>
      </w:r>
      <w:r>
        <w:rPr>
          <w:rFonts w:hint="eastAsia" w:eastAsia="仿宋_GB2312"/>
          <w:sz w:val="32"/>
          <w:szCs w:val="32"/>
        </w:rPr>
        <w:t>责任，建议由阳光焦化厂依照本公司有关安全生产规章制度给予处理。</w:t>
      </w:r>
    </w:p>
    <w:p w14:paraId="30B34B21">
      <w:pPr>
        <w:pStyle w:val="36"/>
        <w:adjustRightInd w:val="0"/>
        <w:snapToGrid w:val="0"/>
        <w:spacing w:line="560" w:lineRule="exact"/>
        <w:ind w:left="0" w:leftChars="0" w:firstLine="640"/>
        <w:rPr>
          <w:rFonts w:eastAsia="仿宋_GB2312"/>
          <w:sz w:val="32"/>
          <w:szCs w:val="32"/>
        </w:rPr>
      </w:pPr>
      <w:r>
        <w:rPr>
          <w:rFonts w:hint="eastAsia" w:eastAsia="仿宋_GB2312"/>
          <w:sz w:val="32"/>
          <w:szCs w:val="32"/>
        </w:rPr>
        <w:t>5.张春生，男，44岁，阳光焦化厂化产装置区安全主管，负责安全管理工作。对管辖区域存在的风险与隐患排查治理</w:t>
      </w:r>
      <w:r>
        <w:rPr>
          <w:rFonts w:hint="eastAsia" w:eastAsia="仿宋_GB2312"/>
          <w:sz w:val="32"/>
          <w:szCs w:val="32"/>
          <w:lang w:eastAsia="zh-CN"/>
        </w:rPr>
        <w:t>、</w:t>
      </w:r>
      <w:r>
        <w:rPr>
          <w:rFonts w:hint="eastAsia" w:eastAsia="仿宋_GB2312"/>
          <w:sz w:val="32"/>
          <w:szCs w:val="32"/>
        </w:rPr>
        <w:t>员工安全教育培训</w:t>
      </w:r>
      <w:r>
        <w:rPr>
          <w:rFonts w:hint="eastAsia" w:eastAsia="仿宋_GB2312"/>
          <w:sz w:val="32"/>
          <w:szCs w:val="32"/>
          <w:lang w:eastAsia="zh-CN"/>
        </w:rPr>
        <w:t>、</w:t>
      </w:r>
      <w:r>
        <w:rPr>
          <w:rFonts w:hint="eastAsia" w:eastAsia="仿宋_GB2312"/>
          <w:sz w:val="32"/>
          <w:szCs w:val="32"/>
        </w:rPr>
        <w:t>维检修安全管理</w:t>
      </w:r>
      <w:r>
        <w:rPr>
          <w:rFonts w:hint="eastAsia" w:eastAsia="仿宋_GB2312"/>
          <w:sz w:val="32"/>
          <w:szCs w:val="32"/>
          <w:lang w:eastAsia="zh-CN"/>
        </w:rPr>
        <w:t>、</w:t>
      </w:r>
      <w:r>
        <w:rPr>
          <w:rFonts w:hint="eastAsia" w:eastAsia="仿宋_GB2312"/>
          <w:sz w:val="32"/>
          <w:szCs w:val="32"/>
        </w:rPr>
        <w:t>风险管控措施</w:t>
      </w:r>
      <w:r>
        <w:rPr>
          <w:rFonts w:hint="eastAsia" w:eastAsia="仿宋_GB2312"/>
          <w:sz w:val="32"/>
          <w:szCs w:val="32"/>
          <w:lang w:eastAsia="zh-CN"/>
        </w:rPr>
        <w:t>等监督管理失察</w:t>
      </w:r>
      <w:r>
        <w:rPr>
          <w:rFonts w:hint="eastAsia" w:eastAsia="仿宋_GB2312"/>
          <w:sz w:val="32"/>
          <w:szCs w:val="32"/>
        </w:rPr>
        <w:t>，负有安全管理责任。违反《中华人民共和国安全生产法》第二十五条</w:t>
      </w:r>
      <w:r>
        <w:rPr>
          <w:rStyle w:val="28"/>
          <w:rFonts w:eastAsia="仿宋_GB2312"/>
          <w:b/>
          <w:bCs/>
          <w:sz w:val="32"/>
          <w:szCs w:val="32"/>
        </w:rPr>
        <w:t>[</w:t>
      </w:r>
      <w:r>
        <w:rPr>
          <w:rStyle w:val="28"/>
          <w:rFonts w:eastAsia="仿宋_GB2312"/>
          <w:b/>
          <w:bCs/>
          <w:sz w:val="32"/>
          <w:szCs w:val="32"/>
        </w:rPr>
        <w:footnoteReference w:id="0"/>
      </w:r>
      <w:r>
        <w:rPr>
          <w:rStyle w:val="28"/>
          <w:rFonts w:eastAsia="仿宋_GB2312"/>
          <w:b/>
          <w:bCs/>
          <w:sz w:val="32"/>
          <w:szCs w:val="32"/>
        </w:rPr>
        <w:t>]</w:t>
      </w:r>
      <w:r>
        <w:rPr>
          <w:rFonts w:hint="eastAsia" w:eastAsia="仿宋_GB2312"/>
          <w:sz w:val="32"/>
          <w:szCs w:val="32"/>
        </w:rPr>
        <w:t>规定，依据《中华人民共和国安全生产法》规定，</w:t>
      </w:r>
      <w:r>
        <w:rPr>
          <w:rFonts w:eastAsia="仿宋_GB2312"/>
          <w:sz w:val="32"/>
          <w:szCs w:val="32"/>
        </w:rPr>
        <w:t>建议</w:t>
      </w:r>
      <w:r>
        <w:rPr>
          <w:rFonts w:hint="eastAsia" w:eastAsia="仿宋_GB2312"/>
          <w:sz w:val="32"/>
          <w:szCs w:val="32"/>
        </w:rPr>
        <w:t>由河津市应急管理局给予行政处罚。</w:t>
      </w:r>
    </w:p>
    <w:p w14:paraId="0F8C7E93">
      <w:pPr>
        <w:pStyle w:val="18"/>
        <w:widowControl w:val="0"/>
        <w:adjustRightInd w:val="0"/>
        <w:snapToGrid w:val="0"/>
        <w:spacing w:before="0" w:beforeAutospacing="0" w:after="0" w:afterAutospacing="0" w:line="560" w:lineRule="exact"/>
        <w:ind w:firstLine="640" w:firstLineChars="200"/>
        <w:rPr>
          <w:rFonts w:eastAsia="仿宋_GB2312"/>
          <w:sz w:val="32"/>
          <w:szCs w:val="32"/>
        </w:rPr>
      </w:pPr>
      <w:r>
        <w:rPr>
          <w:rFonts w:hint="eastAsia" w:ascii="Calibri" w:hAnsi="Calibri" w:eastAsia="仿宋_GB2312" w:cs="Times New Roman"/>
          <w:sz w:val="32"/>
          <w:szCs w:val="32"/>
        </w:rPr>
        <w:t>6.王文军，男，42岁，</w:t>
      </w:r>
      <w:r>
        <w:rPr>
          <w:rFonts w:hint="eastAsia" w:eastAsia="仿宋_GB2312" w:cs="Times New Roman"/>
          <w:sz w:val="32"/>
          <w:szCs w:val="32"/>
        </w:rPr>
        <w:t>中共党员，</w:t>
      </w:r>
      <w:r>
        <w:rPr>
          <w:rFonts w:hint="eastAsia" w:ascii="Calibri" w:hAnsi="Calibri" w:eastAsia="仿宋_GB2312" w:cs="Times New Roman"/>
          <w:sz w:val="32"/>
          <w:szCs w:val="32"/>
        </w:rPr>
        <w:t>阳光焦化厂厂长、主要负责人，对阳光焦化厂安全生产责任制落</w:t>
      </w:r>
      <w:r>
        <w:rPr>
          <w:rFonts w:hint="eastAsia" w:eastAsia="仿宋_GB2312"/>
          <w:sz w:val="32"/>
          <w:szCs w:val="32"/>
        </w:rPr>
        <w:t>实</w:t>
      </w:r>
      <w:r>
        <w:rPr>
          <w:rFonts w:hint="eastAsia" w:eastAsia="仿宋_GB2312"/>
          <w:sz w:val="32"/>
          <w:szCs w:val="32"/>
          <w:lang w:eastAsia="zh-CN"/>
        </w:rPr>
        <w:t>情况失察，</w:t>
      </w:r>
      <w:r>
        <w:rPr>
          <w:rFonts w:hint="eastAsia" w:eastAsia="仿宋_GB2312"/>
          <w:sz w:val="32"/>
          <w:szCs w:val="32"/>
        </w:rPr>
        <w:t>负</w:t>
      </w:r>
      <w:r>
        <w:rPr>
          <w:rFonts w:hint="eastAsia" w:eastAsia="仿宋_GB2312"/>
          <w:sz w:val="32"/>
          <w:szCs w:val="32"/>
          <w:lang w:eastAsia="zh-CN"/>
        </w:rPr>
        <w:t>事故</w:t>
      </w:r>
      <w:r>
        <w:rPr>
          <w:rFonts w:hint="eastAsia" w:eastAsia="仿宋_GB2312"/>
          <w:sz w:val="32"/>
          <w:szCs w:val="32"/>
        </w:rPr>
        <w:t>领导责任。</w:t>
      </w:r>
      <w:r>
        <w:rPr>
          <w:rFonts w:eastAsia="仿宋_GB2312"/>
          <w:sz w:val="32"/>
          <w:szCs w:val="32"/>
        </w:rPr>
        <w:t>违反《中华人民共和国安全生产法》第二十</w:t>
      </w:r>
      <w:r>
        <w:rPr>
          <w:rFonts w:hint="eastAsia" w:eastAsia="仿宋_GB2312"/>
          <w:sz w:val="32"/>
          <w:szCs w:val="32"/>
        </w:rPr>
        <w:t>一</w:t>
      </w:r>
      <w:r>
        <w:rPr>
          <w:rFonts w:eastAsia="仿宋_GB2312"/>
          <w:sz w:val="32"/>
          <w:szCs w:val="32"/>
        </w:rPr>
        <w:t>条</w:t>
      </w:r>
      <w:r>
        <w:rPr>
          <w:rStyle w:val="28"/>
          <w:rFonts w:ascii="Times New Roman" w:hAnsi="Times New Roman" w:eastAsia="仿宋_GB2312" w:cs="Times New Roman"/>
          <w:b/>
          <w:bCs/>
          <w:sz w:val="32"/>
          <w:szCs w:val="32"/>
        </w:rPr>
        <w:t>[</w:t>
      </w:r>
      <w:r>
        <w:rPr>
          <w:rStyle w:val="28"/>
          <w:rFonts w:ascii="Times New Roman" w:hAnsi="Times New Roman" w:eastAsia="仿宋_GB2312" w:cs="Times New Roman"/>
          <w:b/>
          <w:bCs/>
          <w:sz w:val="32"/>
          <w:szCs w:val="32"/>
        </w:rPr>
        <w:footnoteReference w:id="1"/>
      </w:r>
      <w:r>
        <w:rPr>
          <w:rStyle w:val="28"/>
          <w:rFonts w:ascii="Times New Roman" w:hAnsi="Times New Roman" w:eastAsia="仿宋_GB2312" w:cs="Times New Roman"/>
          <w:b/>
          <w:bCs/>
          <w:sz w:val="32"/>
          <w:szCs w:val="32"/>
        </w:rPr>
        <w:t>]</w:t>
      </w:r>
      <w:r>
        <w:rPr>
          <w:rFonts w:hint="eastAsia" w:eastAsia="仿宋_GB2312"/>
          <w:sz w:val="32"/>
          <w:szCs w:val="32"/>
        </w:rPr>
        <w:t>规定，依据《中华人民共和国安全生产法》</w:t>
      </w:r>
      <w:r>
        <w:rPr>
          <w:rFonts w:hint="eastAsia" w:eastAsia="仿宋_GB2312" w:cs="Times New Roman"/>
          <w:sz w:val="32"/>
          <w:szCs w:val="32"/>
        </w:rPr>
        <w:t>规定，</w:t>
      </w:r>
      <w:r>
        <w:rPr>
          <w:rFonts w:hint="eastAsia" w:eastAsia="仿宋_GB2312"/>
          <w:sz w:val="32"/>
          <w:szCs w:val="32"/>
        </w:rPr>
        <w:t>建议由河津市应急管理局给予行政处罚。</w:t>
      </w:r>
    </w:p>
    <w:p w14:paraId="5F9B1B68">
      <w:pPr>
        <w:pStyle w:val="18"/>
        <w:widowControl w:val="0"/>
        <w:adjustRightInd w:val="0"/>
        <w:snapToGrid w:val="0"/>
        <w:spacing w:before="0" w:beforeAutospacing="0" w:after="0" w:afterAutospacing="0" w:line="560" w:lineRule="exact"/>
        <w:ind w:firstLine="640" w:firstLineChars="200"/>
        <w:outlineLvl w:val="1"/>
        <w:rPr>
          <w:rFonts w:eastAsia="仿宋_GB2312"/>
          <w:sz w:val="32"/>
          <w:szCs w:val="32"/>
        </w:rPr>
      </w:pPr>
      <w:bookmarkStart w:id="140" w:name="_Toc19036"/>
      <w:bookmarkStart w:id="141" w:name="_Toc28704"/>
      <w:bookmarkStart w:id="142" w:name="_Toc6278"/>
      <w:bookmarkStart w:id="143" w:name="_Toc18240"/>
      <w:r>
        <w:rPr>
          <w:rFonts w:hint="eastAsia" w:ascii="楷体_GB2312" w:hAnsi="楷体_GB2312" w:eastAsia="楷体_GB2312" w:cs="楷体_GB2312"/>
          <w:kern w:val="2"/>
          <w:sz w:val="32"/>
          <w:szCs w:val="32"/>
        </w:rPr>
        <w:t>（三）</w:t>
      </w:r>
      <w:bookmarkEnd w:id="140"/>
      <w:bookmarkEnd w:id="141"/>
      <w:r>
        <w:rPr>
          <w:rFonts w:hint="eastAsia" w:ascii="楷体_GB2312" w:hAnsi="楷体_GB2312" w:eastAsia="楷体_GB2312" w:cs="楷体_GB2312"/>
          <w:kern w:val="2"/>
          <w:sz w:val="32"/>
          <w:szCs w:val="32"/>
        </w:rPr>
        <w:t>公职责任人员（2 人）</w:t>
      </w:r>
      <w:bookmarkEnd w:id="142"/>
      <w:bookmarkEnd w:id="143"/>
      <w:r>
        <w:rPr>
          <w:rFonts w:hint="eastAsia" w:ascii="楷体_GB2312" w:hAnsi="楷体_GB2312" w:eastAsia="楷体_GB2312" w:cs="楷体_GB2312"/>
          <w:kern w:val="2"/>
          <w:sz w:val="32"/>
          <w:szCs w:val="32"/>
        </w:rPr>
        <w:tab/>
      </w:r>
    </w:p>
    <w:p w14:paraId="21B4F415">
      <w:pPr>
        <w:pStyle w:val="18"/>
        <w:widowControl w:val="0"/>
        <w:adjustRightInd w:val="0"/>
        <w:snapToGrid w:val="0"/>
        <w:spacing w:before="0" w:beforeAutospacing="0" w:after="0" w:afterAutospacing="0" w:line="560" w:lineRule="exact"/>
        <w:ind w:firstLine="640" w:firstLineChars="200"/>
        <w:rPr>
          <w:rFonts w:ascii="Times New Roman" w:hAnsi="Times New Roman" w:eastAsia="仿宋_GB2312" w:cs="Times New Roman"/>
          <w:sz w:val="32"/>
          <w:szCs w:val="32"/>
        </w:rPr>
      </w:pPr>
      <w:r>
        <w:rPr>
          <w:rFonts w:hint="eastAsia" w:eastAsia="仿宋_GB2312"/>
          <w:sz w:val="32"/>
          <w:szCs w:val="32"/>
        </w:rPr>
        <w:t>1.</w:t>
      </w:r>
      <w:r>
        <w:rPr>
          <w:rFonts w:hint="eastAsia" w:ascii="Times New Roman" w:hAnsi="Times New Roman" w:eastAsia="仿宋_GB2312" w:cs="Times New Roman"/>
          <w:sz w:val="32"/>
          <w:szCs w:val="32"/>
        </w:rPr>
        <w:t>黄乔</w:t>
      </w:r>
      <w:r>
        <w:rPr>
          <w:rFonts w:hint="eastAsia" w:ascii="仿宋_GB2312" w:hAnsi="仿宋_GB2312" w:eastAsia="仿宋_GB2312" w:cs="仿宋_GB2312"/>
          <w:sz w:val="32"/>
          <w:szCs w:val="32"/>
        </w:rPr>
        <w:t>龙，男，58岁，中共党员，清涧街道办一级主任科员。在安全检查过程中，未能及时发现阳光</w:t>
      </w:r>
      <w:r>
        <w:rPr>
          <w:rFonts w:hint="eastAsia" w:ascii="Times New Roman" w:hAnsi="Times New Roman" w:eastAsia="仿宋_GB2312" w:cs="Times New Roman"/>
          <w:sz w:val="32"/>
          <w:szCs w:val="32"/>
        </w:rPr>
        <w:t>焦化厂安全管理工作中存在的漏洞，未正确履行安全生产管理职责，督促该企业安全隐患排查工作</w:t>
      </w:r>
      <w:r>
        <w:rPr>
          <w:rFonts w:hint="eastAsia" w:eastAsia="仿宋_GB2312" w:cs="Times New Roman"/>
          <w:sz w:val="32"/>
          <w:szCs w:val="32"/>
        </w:rPr>
        <w:t>不到位</w:t>
      </w:r>
      <w:r>
        <w:rPr>
          <w:rFonts w:hint="eastAsia" w:ascii="Times New Roman" w:hAnsi="Times New Roman" w:eastAsia="仿宋_GB2312" w:cs="Times New Roman"/>
          <w:sz w:val="32"/>
          <w:szCs w:val="32"/>
        </w:rPr>
        <w:t>，对此起事故负有属地管理责任。依据《中国共产党纪律处分条例》和《中华人民共和国公职人员政</w:t>
      </w:r>
      <w:r>
        <w:rPr>
          <w:rFonts w:hint="eastAsia" w:eastAsia="仿宋_GB2312"/>
          <w:sz w:val="32"/>
          <w:szCs w:val="32"/>
        </w:rPr>
        <w:t>务处分法》相关规定，</w:t>
      </w:r>
      <w:r>
        <w:rPr>
          <w:rFonts w:hint="eastAsia" w:ascii="Times New Roman" w:hAnsi="Times New Roman" w:eastAsia="仿宋_GB2312" w:cs="Times New Roman"/>
          <w:sz w:val="32"/>
          <w:szCs w:val="32"/>
        </w:rPr>
        <w:t>建议对其进行批评教育。</w:t>
      </w:r>
    </w:p>
    <w:p w14:paraId="5637919C">
      <w:pPr>
        <w:pStyle w:val="18"/>
        <w:widowControl w:val="0"/>
        <w:adjustRightInd w:val="0"/>
        <w:snapToGrid w:val="0"/>
        <w:spacing w:before="0" w:beforeAutospacing="0" w:after="0" w:afterAutospacing="0" w:line="560" w:lineRule="exact"/>
        <w:ind w:firstLine="640" w:firstLineChars="200"/>
        <w:rPr>
          <w:rFonts w:eastAsia="仿宋_GB2312"/>
          <w:sz w:val="32"/>
          <w:szCs w:val="32"/>
        </w:rPr>
      </w:pPr>
      <w:r>
        <w:rPr>
          <w:rFonts w:hint="eastAsia" w:eastAsia="仿宋_GB2312"/>
          <w:sz w:val="32"/>
          <w:szCs w:val="32"/>
        </w:rPr>
        <w:t>2.郝泽锋，男，41岁，河津经济开发区综合执法局科员。根据《河津市人民政府安全生产委员会关于印发&lt;河津市管行业必须管安全、管业务必须管安全、管生产经营必须管安全实施办法&gt;的通知》（河安发[2021]1号）文件第五十条规定“经济技术开发区负责四至范围内企业的安全管理和安全监管工作”。经济技术开发区执法局虽然对阳光焦化厂进行了安全检查，但未有效督促该厂的安全隐患排查工作，</w:t>
      </w:r>
      <w:r>
        <w:rPr>
          <w:rFonts w:hint="eastAsia" w:ascii="Times New Roman" w:hAnsi="Times New Roman" w:eastAsia="仿宋_GB2312" w:cs="Times New Roman"/>
          <w:sz w:val="32"/>
          <w:szCs w:val="32"/>
        </w:rPr>
        <w:t>存在工作不深入不细致，履职不到位的问题，对此起事故发生负有安全管理和安全监管责任</w:t>
      </w:r>
      <w:r>
        <w:rPr>
          <w:rFonts w:hint="eastAsia" w:eastAsia="仿宋_GB2312"/>
          <w:sz w:val="32"/>
          <w:szCs w:val="32"/>
        </w:rPr>
        <w:t>。依据</w:t>
      </w:r>
      <w:r>
        <w:rPr>
          <w:rFonts w:hint="eastAsia" w:ascii="Times New Roman" w:hAnsi="Times New Roman" w:eastAsia="仿宋_GB2312" w:cs="Times New Roman"/>
          <w:sz w:val="32"/>
          <w:szCs w:val="32"/>
        </w:rPr>
        <w:t xml:space="preserve">《中华人民共和国公职人员政务处分法》相关规定，建议对其进行责令检查。   </w:t>
      </w:r>
    </w:p>
    <w:p w14:paraId="496C8469">
      <w:pPr>
        <w:spacing w:line="560" w:lineRule="exact"/>
        <w:ind w:firstLine="640" w:firstLineChars="200"/>
        <w:outlineLvl w:val="1"/>
        <w:rPr>
          <w:rFonts w:ascii="楷体_GB2312" w:hAnsi="楷体_GB2312" w:eastAsia="楷体_GB2312" w:cs="楷体_GB2312"/>
          <w:sz w:val="32"/>
          <w:szCs w:val="32"/>
        </w:rPr>
      </w:pPr>
      <w:bookmarkStart w:id="144" w:name="_Toc14565"/>
      <w:bookmarkStart w:id="145" w:name="_Toc784"/>
      <w:bookmarkStart w:id="146" w:name="_Toc32433"/>
      <w:bookmarkStart w:id="147" w:name="_Toc19002"/>
      <w:r>
        <w:rPr>
          <w:rFonts w:hint="eastAsia" w:ascii="楷体_GB2312" w:hAnsi="楷体_GB2312" w:eastAsia="楷体_GB2312" w:cs="楷体_GB2312"/>
          <w:sz w:val="32"/>
          <w:szCs w:val="32"/>
        </w:rPr>
        <w:t>（四）相关单位处理建议</w:t>
      </w:r>
      <w:bookmarkEnd w:id="144"/>
      <w:bookmarkEnd w:id="145"/>
      <w:bookmarkEnd w:id="146"/>
      <w:bookmarkEnd w:id="147"/>
    </w:p>
    <w:p w14:paraId="7232F12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1.对事故企业的处理建议</w:t>
      </w:r>
    </w:p>
    <w:p w14:paraId="64620DD0">
      <w:pPr>
        <w:spacing w:line="560" w:lineRule="exact"/>
        <w:ind w:firstLine="640" w:firstLineChars="200"/>
        <w:rPr>
          <w:rFonts w:eastAsia="仿宋_GB2312"/>
          <w:sz w:val="32"/>
          <w:szCs w:val="32"/>
        </w:rPr>
      </w:pPr>
      <w:r>
        <w:rPr>
          <w:rFonts w:hint="eastAsia" w:eastAsia="仿宋_GB2312"/>
          <w:sz w:val="32"/>
          <w:szCs w:val="32"/>
        </w:rPr>
        <w:t>阳光焦化厂作为山西阳光集团股份有限公司下辖的非法人单位，未有效履行生产经营单位安全生产主体责任，安全生产责任制落实不到位、安全风险分级管控与隐患排查治理双预防机制落实不到位。</w:t>
      </w:r>
      <w:r>
        <w:rPr>
          <w:rFonts w:eastAsia="仿宋_GB2312"/>
          <w:sz w:val="32"/>
          <w:szCs w:val="32"/>
        </w:rPr>
        <w:t>违反《中华人民共和国安全生产法》第</w:t>
      </w:r>
      <w:r>
        <w:rPr>
          <w:rFonts w:hint="eastAsia" w:eastAsia="仿宋_GB2312"/>
          <w:sz w:val="32"/>
          <w:szCs w:val="32"/>
        </w:rPr>
        <w:t>四</w:t>
      </w:r>
      <w:r>
        <w:rPr>
          <w:rFonts w:eastAsia="仿宋_GB2312"/>
          <w:sz w:val="32"/>
          <w:szCs w:val="32"/>
        </w:rPr>
        <w:t>条</w:t>
      </w:r>
      <w:r>
        <w:rPr>
          <w:rStyle w:val="28"/>
          <w:rFonts w:eastAsia="仿宋_GB2312"/>
          <w:b/>
          <w:bCs/>
          <w:sz w:val="32"/>
          <w:szCs w:val="32"/>
        </w:rPr>
        <w:t>[</w:t>
      </w:r>
      <w:r>
        <w:rPr>
          <w:rStyle w:val="28"/>
          <w:rFonts w:eastAsia="仿宋_GB2312"/>
          <w:b/>
          <w:bCs/>
          <w:sz w:val="32"/>
          <w:szCs w:val="32"/>
        </w:rPr>
        <w:footnoteReference w:id="2"/>
      </w:r>
      <w:r>
        <w:rPr>
          <w:rStyle w:val="28"/>
          <w:rFonts w:eastAsia="仿宋_GB2312"/>
          <w:b/>
          <w:bCs/>
          <w:sz w:val="32"/>
          <w:szCs w:val="32"/>
        </w:rPr>
        <w:t>]</w:t>
      </w:r>
      <w:r>
        <w:rPr>
          <w:rFonts w:hint="eastAsia" w:eastAsia="仿宋_GB2312"/>
          <w:sz w:val="32"/>
          <w:szCs w:val="32"/>
        </w:rPr>
        <w:t>与第四十一条</w:t>
      </w:r>
      <w:r>
        <w:rPr>
          <w:rStyle w:val="28"/>
          <w:rFonts w:eastAsia="仿宋_GB2312"/>
          <w:b/>
          <w:bCs/>
          <w:sz w:val="32"/>
          <w:szCs w:val="32"/>
        </w:rPr>
        <w:t>[</w:t>
      </w:r>
      <w:r>
        <w:rPr>
          <w:rStyle w:val="28"/>
          <w:rFonts w:eastAsia="仿宋_GB2312"/>
          <w:b/>
          <w:bCs/>
          <w:sz w:val="32"/>
          <w:szCs w:val="32"/>
        </w:rPr>
        <w:footnoteReference w:id="3"/>
      </w:r>
      <w:r>
        <w:rPr>
          <w:rStyle w:val="28"/>
          <w:rFonts w:eastAsia="仿宋_GB2312"/>
          <w:b/>
          <w:bCs/>
          <w:sz w:val="32"/>
          <w:szCs w:val="32"/>
        </w:rPr>
        <w:t>]</w:t>
      </w:r>
      <w:r>
        <w:rPr>
          <w:rFonts w:hint="eastAsia" w:eastAsia="仿宋_GB2312"/>
          <w:sz w:val="32"/>
          <w:szCs w:val="32"/>
        </w:rPr>
        <w:t>规定。</w:t>
      </w:r>
      <w:r>
        <w:rPr>
          <w:rFonts w:hint="eastAsia" w:ascii="仿宋" w:hAnsi="仿宋" w:eastAsia="仿宋" w:cs="仿宋"/>
          <w:kern w:val="2"/>
          <w:sz w:val="32"/>
          <w:szCs w:val="32"/>
        </w:rPr>
        <w:t>依据《中华人民共和国安全生产法》</w:t>
      </w:r>
      <w:r>
        <w:rPr>
          <w:rFonts w:hint="eastAsia" w:eastAsia="仿宋_GB2312"/>
          <w:sz w:val="32"/>
          <w:szCs w:val="32"/>
        </w:rPr>
        <w:t>规定，建议由河津市应急管理局对山西阳光焦化集团股份有限公司进行行政处罚。</w:t>
      </w:r>
    </w:p>
    <w:p w14:paraId="020147B9">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2.对基层监管单位的处理建议</w:t>
      </w:r>
    </w:p>
    <w:p w14:paraId="6E1D9245">
      <w:pPr>
        <w:spacing w:line="560" w:lineRule="exact"/>
        <w:ind w:firstLine="640" w:firstLineChars="200"/>
        <w:rPr>
          <w:rFonts w:eastAsia="仿宋_GB2312"/>
          <w:sz w:val="32"/>
          <w:szCs w:val="32"/>
        </w:rPr>
      </w:pPr>
      <w:r>
        <w:rPr>
          <w:rFonts w:eastAsia="仿宋_GB2312"/>
          <w:sz w:val="32"/>
          <w:szCs w:val="32"/>
        </w:rPr>
        <w:t>清涧街道办作为属地</w:t>
      </w:r>
      <w:r>
        <w:rPr>
          <w:rFonts w:hint="eastAsia" w:eastAsia="仿宋_GB2312"/>
          <w:sz w:val="32"/>
          <w:szCs w:val="32"/>
        </w:rPr>
        <w:t>管理部门，未有效履行安全生产分级属地管理职责，</w:t>
      </w:r>
      <w:r>
        <w:rPr>
          <w:rFonts w:eastAsia="仿宋_GB2312"/>
          <w:sz w:val="32"/>
          <w:szCs w:val="32"/>
        </w:rPr>
        <w:t>建议向河津市人民政府做出深刻检查</w:t>
      </w:r>
      <w:r>
        <w:rPr>
          <w:rFonts w:hint="eastAsia" w:eastAsia="仿宋_GB2312"/>
          <w:sz w:val="32"/>
          <w:szCs w:val="32"/>
        </w:rPr>
        <w:t>。</w:t>
      </w:r>
    </w:p>
    <w:p w14:paraId="3AE5D01C">
      <w:pPr>
        <w:spacing w:line="560" w:lineRule="exact"/>
        <w:ind w:firstLine="640" w:firstLineChars="200"/>
      </w:pPr>
      <w:r>
        <w:rPr>
          <w:rFonts w:hint="eastAsia" w:eastAsia="仿宋_GB2312"/>
          <w:sz w:val="32"/>
          <w:szCs w:val="32"/>
        </w:rPr>
        <w:t>河津经济技术开发区</w:t>
      </w:r>
      <w:r>
        <w:rPr>
          <w:rFonts w:eastAsia="仿宋_GB2312"/>
          <w:sz w:val="32"/>
          <w:szCs w:val="32"/>
        </w:rPr>
        <w:t>作为</w:t>
      </w:r>
      <w:r>
        <w:rPr>
          <w:rFonts w:hint="eastAsia" w:eastAsia="仿宋_GB2312"/>
          <w:sz w:val="32"/>
          <w:szCs w:val="32"/>
        </w:rPr>
        <w:t>安全管理和安全监管</w:t>
      </w:r>
      <w:r>
        <w:rPr>
          <w:rFonts w:eastAsia="仿宋_GB2312"/>
          <w:sz w:val="32"/>
          <w:szCs w:val="32"/>
        </w:rPr>
        <w:t>部门，</w:t>
      </w:r>
      <w:r>
        <w:rPr>
          <w:rFonts w:hint="eastAsia" w:eastAsia="仿宋_GB2312"/>
          <w:sz w:val="32"/>
          <w:szCs w:val="32"/>
        </w:rPr>
        <w:t>督促</w:t>
      </w:r>
      <w:r>
        <w:rPr>
          <w:rFonts w:eastAsia="仿宋_GB2312"/>
          <w:sz w:val="32"/>
          <w:szCs w:val="32"/>
        </w:rPr>
        <w:t>企业</w:t>
      </w:r>
      <w:r>
        <w:rPr>
          <w:rFonts w:hint="eastAsia" w:eastAsia="仿宋_GB2312"/>
          <w:sz w:val="32"/>
          <w:szCs w:val="32"/>
        </w:rPr>
        <w:t>生产</w:t>
      </w:r>
      <w:r>
        <w:rPr>
          <w:rFonts w:eastAsia="仿宋_GB2312"/>
          <w:sz w:val="32"/>
          <w:szCs w:val="32"/>
        </w:rPr>
        <w:t>安全主体责任落实</w:t>
      </w:r>
      <w:r>
        <w:rPr>
          <w:rFonts w:hint="eastAsia" w:eastAsia="仿宋_GB2312"/>
          <w:sz w:val="32"/>
          <w:szCs w:val="32"/>
        </w:rPr>
        <w:t>不到位，</w:t>
      </w:r>
      <w:r>
        <w:rPr>
          <w:rFonts w:eastAsia="仿宋_GB2312"/>
          <w:sz w:val="32"/>
          <w:szCs w:val="32"/>
        </w:rPr>
        <w:t>监管不力，建议向河津市人民政府做出深刻检查。</w:t>
      </w:r>
    </w:p>
    <w:p w14:paraId="59F8EA0E">
      <w:pPr>
        <w:adjustRightInd w:val="0"/>
        <w:snapToGrid w:val="0"/>
        <w:spacing w:line="560" w:lineRule="exact"/>
        <w:ind w:firstLine="640" w:firstLineChars="200"/>
        <w:outlineLvl w:val="0"/>
        <w:rPr>
          <w:rFonts w:ascii="黑体" w:hAnsi="黑体" w:eastAsia="黑体" w:cs="黑体"/>
          <w:sz w:val="32"/>
          <w:szCs w:val="32"/>
        </w:rPr>
      </w:pPr>
      <w:bookmarkStart w:id="148" w:name="_Toc26906"/>
      <w:r>
        <w:rPr>
          <w:rFonts w:hint="eastAsia" w:ascii="黑体" w:hAnsi="黑体" w:eastAsia="黑体" w:cs="黑体"/>
          <w:sz w:val="32"/>
          <w:szCs w:val="32"/>
        </w:rPr>
        <w:t>六、事故主要教训</w:t>
      </w:r>
      <w:bookmarkEnd w:id="130"/>
      <w:bookmarkEnd w:id="148"/>
    </w:p>
    <w:p w14:paraId="5DFC4223">
      <w:pPr>
        <w:adjustRightInd w:val="0"/>
        <w:snapToGrid w:val="0"/>
        <w:spacing w:line="560" w:lineRule="exact"/>
        <w:ind w:firstLine="640" w:firstLineChars="200"/>
        <w:outlineLvl w:val="1"/>
        <w:rPr>
          <w:rFonts w:ascii="楷体_GB2312" w:hAnsi="楷体_GB2312" w:eastAsia="楷体_GB2312" w:cs="楷体_GB2312"/>
          <w:kern w:val="2"/>
          <w:sz w:val="32"/>
          <w:szCs w:val="32"/>
        </w:rPr>
      </w:pPr>
      <w:bookmarkStart w:id="149" w:name="_Toc24632"/>
      <w:bookmarkStart w:id="150" w:name="_Toc12308"/>
      <w:r>
        <w:rPr>
          <w:rFonts w:hint="eastAsia" w:ascii="楷体_GB2312" w:hAnsi="楷体_GB2312" w:eastAsia="楷体_GB2312" w:cs="楷体_GB2312"/>
          <w:sz w:val="32"/>
          <w:szCs w:val="32"/>
        </w:rPr>
        <w:t>（一）事故企业</w:t>
      </w:r>
      <w:r>
        <w:rPr>
          <w:rFonts w:hint="eastAsia" w:ascii="楷体_GB2312" w:hAnsi="楷体_GB2312" w:eastAsia="楷体_GB2312" w:cs="楷体_GB2312"/>
          <w:kern w:val="2"/>
          <w:sz w:val="32"/>
          <w:szCs w:val="32"/>
        </w:rPr>
        <w:t>主体责任落实</w:t>
      </w:r>
      <w:bookmarkEnd w:id="149"/>
      <w:r>
        <w:rPr>
          <w:rFonts w:hint="eastAsia" w:ascii="楷体_GB2312" w:hAnsi="楷体_GB2312" w:eastAsia="楷体_GB2312" w:cs="楷体_GB2312"/>
          <w:kern w:val="2"/>
          <w:sz w:val="32"/>
          <w:szCs w:val="32"/>
        </w:rPr>
        <w:t>不到位</w:t>
      </w:r>
      <w:bookmarkEnd w:id="150"/>
    </w:p>
    <w:p w14:paraId="6B4D7178">
      <w:pPr>
        <w:spacing w:line="560" w:lineRule="exact"/>
        <w:ind w:firstLine="640" w:firstLineChars="200"/>
        <w:rPr>
          <w:rFonts w:eastAsia="仿宋_GB2312"/>
          <w:sz w:val="32"/>
          <w:szCs w:val="32"/>
        </w:rPr>
      </w:pPr>
      <w:r>
        <w:rPr>
          <w:rFonts w:hint="eastAsia" w:eastAsia="仿宋_GB2312"/>
          <w:sz w:val="32"/>
          <w:szCs w:val="32"/>
        </w:rPr>
        <w:t>事故暴露出山西阳光焦化集团股份有限公司及其阳光焦化厂未有效履行生产经营单位安全生产主体责任，对基层单位存在的安全生产责任制落实不力、风险分级管控与隐患排查治理、设备管理及检修作业安全管理问题督促管理不到位，导致事故发生，教训惨痛。</w:t>
      </w:r>
    </w:p>
    <w:p w14:paraId="605DB414">
      <w:pPr>
        <w:spacing w:line="560" w:lineRule="exact"/>
        <w:ind w:firstLine="640" w:firstLineChars="200"/>
        <w:outlineLvl w:val="1"/>
        <w:rPr>
          <w:rFonts w:ascii="楷体_GB2312" w:hAnsi="楷体_GB2312" w:eastAsia="楷体_GB2312" w:cs="楷体_GB2312"/>
          <w:kern w:val="2"/>
          <w:sz w:val="32"/>
          <w:szCs w:val="32"/>
        </w:rPr>
      </w:pPr>
      <w:bookmarkStart w:id="151" w:name="_Toc12198"/>
      <w:r>
        <w:rPr>
          <w:rFonts w:hint="eastAsia" w:ascii="楷体_GB2312" w:hAnsi="楷体_GB2312" w:eastAsia="楷体_GB2312" w:cs="楷体_GB2312"/>
          <w:sz w:val="32"/>
          <w:szCs w:val="32"/>
        </w:rPr>
        <w:t>（二）</w:t>
      </w:r>
      <w:bookmarkStart w:id="152" w:name="_Toc20901"/>
      <w:r>
        <w:rPr>
          <w:rFonts w:hint="eastAsia" w:ascii="楷体_GB2312" w:hAnsi="楷体_GB2312" w:eastAsia="楷体_GB2312" w:cs="楷体_GB2312"/>
          <w:kern w:val="2"/>
          <w:sz w:val="32"/>
          <w:szCs w:val="32"/>
        </w:rPr>
        <w:t>基层安全监管部门相关人员履职不到位</w:t>
      </w:r>
      <w:bookmarkEnd w:id="151"/>
      <w:bookmarkEnd w:id="152"/>
    </w:p>
    <w:p w14:paraId="53FC1F85">
      <w:pPr>
        <w:pStyle w:val="18"/>
        <w:shd w:val="clear" w:color="auto" w:fill="FFFFFF"/>
        <w:spacing w:before="0" w:beforeAutospacing="0" w:after="0" w:afterAutospacing="0" w:line="560" w:lineRule="exact"/>
        <w:ind w:firstLine="640" w:firstLineChars="200"/>
        <w:rPr>
          <w:rFonts w:ascii="黑体" w:hAnsi="黑体" w:eastAsia="黑体" w:cs="黑体"/>
          <w:sz w:val="32"/>
          <w:szCs w:val="32"/>
        </w:rPr>
      </w:pPr>
      <w:bookmarkStart w:id="153" w:name="_Toc16477"/>
      <w:r>
        <w:rPr>
          <w:rFonts w:hint="eastAsia" w:ascii="Times New Roman" w:hAnsi="Times New Roman" w:eastAsia="仿宋_GB2312" w:cs="Times New Roman"/>
          <w:sz w:val="32"/>
          <w:szCs w:val="32"/>
        </w:rPr>
        <w:t>清涧街道办、</w:t>
      </w:r>
      <w:r>
        <w:rPr>
          <w:rFonts w:hint="eastAsia" w:eastAsia="仿宋_GB2312"/>
          <w:sz w:val="32"/>
          <w:szCs w:val="32"/>
        </w:rPr>
        <w:t>河津经济技术开发区综合执法局相关安全监管人员</w:t>
      </w:r>
      <w:r>
        <w:rPr>
          <w:rFonts w:hint="eastAsia" w:ascii="Times New Roman" w:hAnsi="Times New Roman" w:eastAsia="仿宋_GB2312" w:cs="Times New Roman"/>
          <w:sz w:val="32"/>
          <w:szCs w:val="32"/>
        </w:rPr>
        <w:t>未正确履行安全生产监管职责，检查督促该企业安全工作</w:t>
      </w:r>
      <w:r>
        <w:rPr>
          <w:rFonts w:hint="eastAsia" w:eastAsia="仿宋_GB2312" w:cs="Times New Roman"/>
          <w:sz w:val="32"/>
          <w:szCs w:val="32"/>
        </w:rPr>
        <w:t>不到位，</w:t>
      </w:r>
      <w:r>
        <w:rPr>
          <w:rFonts w:hint="eastAsia" w:ascii="Times New Roman" w:hAnsi="Times New Roman" w:eastAsia="仿宋_GB2312" w:cs="Times New Roman"/>
          <w:sz w:val="32"/>
          <w:szCs w:val="32"/>
        </w:rPr>
        <w:t>致使生产现场存在的安全隐患得不到及时有效治理，导致事故发生。</w:t>
      </w:r>
      <w:bookmarkEnd w:id="153"/>
    </w:p>
    <w:p w14:paraId="1BE5CF6D">
      <w:pPr>
        <w:pStyle w:val="18"/>
        <w:shd w:val="clear" w:color="auto" w:fill="FFFFFF"/>
        <w:spacing w:before="0" w:beforeAutospacing="0" w:after="0" w:afterAutospacing="0" w:line="560" w:lineRule="exact"/>
        <w:ind w:firstLine="640" w:firstLineChars="200"/>
        <w:outlineLvl w:val="0"/>
        <w:rPr>
          <w:rFonts w:ascii="黑体" w:hAnsi="黑体" w:eastAsia="黑体" w:cs="黑体"/>
          <w:sz w:val="32"/>
          <w:szCs w:val="32"/>
        </w:rPr>
      </w:pPr>
      <w:bookmarkStart w:id="154" w:name="_Toc4508"/>
      <w:r>
        <w:rPr>
          <w:rFonts w:hint="eastAsia" w:ascii="黑体" w:hAnsi="黑体" w:eastAsia="黑体" w:cs="黑体"/>
          <w:sz w:val="32"/>
          <w:szCs w:val="32"/>
        </w:rPr>
        <w:t>七、事故整改和防范措施建议</w:t>
      </w:r>
      <w:bookmarkEnd w:id="154"/>
    </w:p>
    <w:p w14:paraId="32166042">
      <w:pPr>
        <w:pStyle w:val="18"/>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bookmarkStart w:id="155" w:name="_Toc21572"/>
      <w:r>
        <w:rPr>
          <w:rFonts w:hint="eastAsia" w:ascii="Times New Roman" w:hAnsi="Times New Roman" w:eastAsia="仿宋_GB2312" w:cs="Times New Roman"/>
          <w:sz w:val="32"/>
          <w:szCs w:val="32"/>
        </w:rPr>
        <w:t>针对本次事故暴露出来的问题，为了深刻吸取事故教训，举一反三，有效防范和减少同类事故的发生，提出以下建议:</w:t>
      </w:r>
      <w:bookmarkEnd w:id="155"/>
    </w:p>
    <w:p w14:paraId="3611BA65">
      <w:pPr>
        <w:spacing w:line="560" w:lineRule="exact"/>
        <w:ind w:firstLine="640" w:firstLineChars="200"/>
        <w:outlineLvl w:val="1"/>
        <w:rPr>
          <w:rFonts w:ascii="楷体_GB2312" w:hAnsi="楷体_GB2312" w:eastAsia="楷体_GB2312" w:cs="楷体_GB2312"/>
          <w:kern w:val="2"/>
          <w:sz w:val="32"/>
          <w:szCs w:val="32"/>
        </w:rPr>
      </w:pPr>
      <w:bookmarkStart w:id="156" w:name="_Toc21979"/>
      <w:bookmarkStart w:id="157" w:name="_Toc28458"/>
      <w:r>
        <w:rPr>
          <w:rFonts w:hint="eastAsia" w:ascii="楷体" w:hAnsi="楷体" w:eastAsia="楷体" w:cs="楷体"/>
          <w:sz w:val="32"/>
          <w:szCs w:val="32"/>
        </w:rPr>
        <w:t>（一）</w:t>
      </w:r>
      <w:bookmarkEnd w:id="156"/>
      <w:bookmarkStart w:id="158" w:name="_Toc32040"/>
      <w:r>
        <w:rPr>
          <w:rFonts w:hint="eastAsia" w:ascii="楷体_GB2312" w:hAnsi="楷体_GB2312" w:eastAsia="楷体_GB2312" w:cs="楷体_GB2312"/>
          <w:kern w:val="2"/>
          <w:sz w:val="32"/>
          <w:szCs w:val="32"/>
        </w:rPr>
        <w:t>加强企业安全生产责任制建设</w:t>
      </w:r>
      <w:bookmarkEnd w:id="157"/>
    </w:p>
    <w:p w14:paraId="475717B0">
      <w:pPr>
        <w:spacing w:line="560" w:lineRule="exact"/>
        <w:ind w:firstLine="640" w:firstLineChars="200"/>
        <w:rPr>
          <w:rFonts w:eastAsia="仿宋_GB2312"/>
          <w:sz w:val="32"/>
          <w:szCs w:val="32"/>
        </w:rPr>
      </w:pPr>
      <w:r>
        <w:rPr>
          <w:rFonts w:hint="eastAsia" w:eastAsia="仿宋_GB2312"/>
          <w:sz w:val="32"/>
          <w:szCs w:val="32"/>
        </w:rPr>
        <w:t>汲取本次事故中设备改造过程中作业人员责任心不强，改造措施不到位的教训，进一步分析事故原因，查找企业安全管理，特别是检修作业管理过程中的问题和不足，举一反三。同时，应加强基层单位设备日常点检、设备管理部门的定期检查与隐患排查，全面落实企业各部门、单位的安全生产责任。进一步加强维检修前安全风险辨识、隐患排查、安全技术交底，强化维检修作业过程中的安全管理。</w:t>
      </w:r>
    </w:p>
    <w:p w14:paraId="7CF85EE3">
      <w:pPr>
        <w:pStyle w:val="18"/>
        <w:widowControl w:val="0"/>
        <w:shd w:val="clear" w:color="auto" w:fill="FFFFFF"/>
        <w:spacing w:before="0" w:beforeAutospacing="0" w:after="0" w:afterAutospacing="0" w:line="560" w:lineRule="exact"/>
        <w:ind w:firstLine="640" w:firstLineChars="200"/>
        <w:outlineLvl w:val="1"/>
        <w:rPr>
          <w:rFonts w:ascii="楷体_GB2312" w:hAnsi="楷体_GB2312" w:eastAsia="楷体_GB2312" w:cs="楷体_GB2312"/>
          <w:sz w:val="32"/>
          <w:szCs w:val="32"/>
        </w:rPr>
      </w:pPr>
      <w:bookmarkStart w:id="159" w:name="_Toc27368"/>
      <w:bookmarkStart w:id="160" w:name="_Toc22939"/>
      <w:r>
        <w:rPr>
          <w:rFonts w:hint="eastAsia" w:ascii="楷体_GB2312" w:hAnsi="楷体_GB2312" w:eastAsia="楷体_GB2312" w:cs="楷体_GB2312"/>
          <w:sz w:val="32"/>
          <w:szCs w:val="32"/>
        </w:rPr>
        <w:t>（二）夯实</w:t>
      </w:r>
      <w:r>
        <w:rPr>
          <w:rFonts w:hint="eastAsia" w:ascii="楷体_GB2312" w:hAnsi="楷体_GB2312" w:eastAsia="楷体_GB2312" w:cs="楷体_GB2312"/>
          <w:kern w:val="2"/>
          <w:sz w:val="32"/>
          <w:szCs w:val="32"/>
        </w:rPr>
        <w:t>基层安全监管</w:t>
      </w:r>
      <w:bookmarkEnd w:id="159"/>
      <w:r>
        <w:rPr>
          <w:rFonts w:hint="eastAsia" w:ascii="楷体_GB2312" w:hAnsi="楷体_GB2312" w:eastAsia="楷体_GB2312" w:cs="楷体_GB2312"/>
          <w:kern w:val="2"/>
          <w:sz w:val="32"/>
          <w:szCs w:val="32"/>
        </w:rPr>
        <w:t>力量</w:t>
      </w:r>
      <w:bookmarkEnd w:id="160"/>
    </w:p>
    <w:p w14:paraId="3A03DB98">
      <w:pPr>
        <w:pStyle w:val="18"/>
        <w:widowControl w:val="0"/>
        <w:shd w:val="clear" w:color="auto" w:fill="FFFFFF"/>
        <w:spacing w:before="0" w:beforeAutospacing="0" w:after="0" w:afterAutospacing="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进一步加强政府基层街道办和经济技术开发区安全监管力量，强化队伍建设，细化安全责任，提高安全监管水平，创建良好的安全生产形势。</w:t>
      </w:r>
    </w:p>
    <w:p w14:paraId="1A1BC122">
      <w:pPr>
        <w:tabs>
          <w:tab w:val="left" w:pos="7140"/>
        </w:tabs>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（三）持续抓好安全生产治本攻坚三年行动</w:t>
      </w:r>
    </w:p>
    <w:p w14:paraId="181C358C">
      <w:pPr>
        <w:ind w:firstLine="640" w:firstLineChars="200"/>
        <w:rPr>
          <w:rFonts w:asciiTheme="minorEastAsia" w:hAnsiTheme="minorEastAsia" w:eastAsiaTheme="minorEastAsia" w:cstheme="minorEastAsia"/>
          <w:sz w:val="32"/>
          <w:szCs w:val="32"/>
        </w:rPr>
      </w:pPr>
      <w:r>
        <w:rPr>
          <w:rFonts w:hint="eastAsia" w:ascii="仿宋" w:hAnsi="仿宋" w:eastAsia="仿宋" w:cs="仿宋"/>
          <w:sz w:val="32"/>
          <w:szCs w:val="32"/>
        </w:rPr>
        <w:t>各监管部门应紧紧围绕国务院安委会印发的《安全生产治本攻坚三年行动方案（2024-2026年）》，聚焦“人人讲安全、个个会应急”这个主题和目标，强化主要负责人的第一责任人意识与从业人员的安全风险意识，切实提升企业全员安全素质和能力，督促企业结合实际，开展好重大事故隐患动态清零行动，规范事故隐患排查工作流程、提升排查整改质量，提高企业安全管理水平。</w:t>
      </w:r>
      <w:bookmarkEnd w:id="158"/>
    </w:p>
    <w:sectPr>
      <w:headerReference r:id="rId4" w:type="default"/>
      <w:footerReference r:id="rId5" w:type="default"/>
      <w:pgSz w:w="11906" w:h="16838"/>
      <w:pgMar w:top="1814" w:right="1474" w:bottom="1814" w:left="1587" w:header="720" w:footer="1417"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ESI仿宋-GB2312">
    <w:altName w:val="仿宋"/>
    <w:panose1 w:val="00000000000000000000"/>
    <w:charset w:val="86"/>
    <w:family w:val="auto"/>
    <w:pitch w:val="default"/>
    <w:sig w:usb0="00000000" w:usb1="00000000" w:usb2="00000010"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5BE40">
    <w:pPr>
      <w:pStyle w:val="13"/>
      <w:ind w:firstLine="360"/>
    </w:pPr>
    <w:r>
      <mc:AlternateContent>
        <mc:Choice Requires="wps">
          <w:drawing>
            <wp:anchor distT="0" distB="0" distL="114300" distR="114300" simplePos="0" relativeHeight="251659264" behindDoc="0" locked="0" layoutInCell="1" allowOverlap="1">
              <wp:simplePos x="0" y="0"/>
              <wp:positionH relativeFrom="margin">
                <wp:posOffset>2759710</wp:posOffset>
              </wp:positionH>
              <wp:positionV relativeFrom="paragraph">
                <wp:posOffset>0</wp:posOffset>
              </wp:positionV>
              <wp:extent cx="423545" cy="175260"/>
              <wp:effectExtent l="0" t="0" r="0" b="0"/>
              <wp:wrapNone/>
              <wp:docPr id="20" name="文本框 40"/>
              <wp:cNvGraphicFramePr/>
              <a:graphic xmlns:a="http://schemas.openxmlformats.org/drawingml/2006/main">
                <a:graphicData uri="http://schemas.microsoft.com/office/word/2010/wordprocessingShape">
                  <wps:wsp>
                    <wps:cNvSpPr txBox="1"/>
                    <wps:spPr>
                      <a:xfrm>
                        <a:off x="0" y="0"/>
                        <a:ext cx="423545" cy="175260"/>
                      </a:xfrm>
                      <a:prstGeom prst="rect">
                        <a:avLst/>
                      </a:prstGeom>
                      <a:noFill/>
                      <a:ln w="6350">
                        <a:noFill/>
                      </a:ln>
                    </wps:spPr>
                    <wps:txbx>
                      <w:txbxContent>
                        <w:p w14:paraId="3CBB484F">
                          <w:pPr>
                            <w:pStyle w:val="13"/>
                          </w:pPr>
                          <w:r>
                            <w:rPr>
                              <w:rFonts w:hint="eastAsia"/>
                            </w:rPr>
                            <w:t>—</w:t>
                          </w:r>
                          <w:r>
                            <w:rPr>
                              <w:sz w:val="24"/>
                              <w:szCs w:val="40"/>
                            </w:rPr>
                            <w:fldChar w:fldCharType="begin"/>
                          </w:r>
                          <w:r>
                            <w:rPr>
                              <w:sz w:val="24"/>
                              <w:szCs w:val="40"/>
                            </w:rPr>
                            <w:instrText xml:space="preserve"> PAGE  \* MERGEFORMAT </w:instrText>
                          </w:r>
                          <w:r>
                            <w:rPr>
                              <w:sz w:val="24"/>
                              <w:szCs w:val="40"/>
                            </w:rPr>
                            <w:fldChar w:fldCharType="separate"/>
                          </w:r>
                          <w:r>
                            <w:rPr>
                              <w:sz w:val="24"/>
                              <w:szCs w:val="40"/>
                            </w:rPr>
                            <w:t>24</w:t>
                          </w:r>
                          <w:r>
                            <w:rPr>
                              <w:sz w:val="24"/>
                              <w:szCs w:val="40"/>
                            </w:rPr>
                            <w:fldChar w:fldCharType="end"/>
                          </w:r>
                          <w:r>
                            <w:rPr>
                              <w:rFonts w:hint="eastAsia"/>
                            </w:rPr>
                            <w:t>—</w:t>
                          </w:r>
                        </w:p>
                      </w:txbxContent>
                    </wps:txbx>
                    <wps:bodyPr lIns="0" tIns="0" rIns="0" bIns="0" upright="1">
                      <a:spAutoFit/>
                    </wps:bodyPr>
                  </wps:wsp>
                </a:graphicData>
              </a:graphic>
            </wp:anchor>
          </w:drawing>
        </mc:Choice>
        <mc:Fallback>
          <w:pict>
            <v:shape id="文本框 40" o:spid="_x0000_s1026" o:spt="202" type="#_x0000_t202" style="position:absolute;left:0pt;margin-left:217.3pt;margin-top:0pt;height:13.8pt;width:33.35pt;mso-position-horizontal-relative:margin;z-index:251659264;mso-width-relative:page;mso-height-relative:page;" filled="f" stroked="f" coordsize="21600,21600" o:gfxdata="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6yGMNYAAAAHAQAADwAAAAAAAAABACAAAAAiAAAA&#10;ZHJzL2Rvd25yZXYueG1sUEsBAhQAFAAAAAgAh07iQASv2jjQAQAAlgMAAA4AAAAAAAAAAQAgAAAA&#10;JQEAAGRycy9lMm9Eb2MueG1sUEsFBgAAAAAGAAYAWQEAAGcFAAAAAA==&#10;">
              <v:fill on="f" focussize="0,0"/>
              <v:stroke on="f" weight="0.5pt"/>
              <v:imagedata o:title=""/>
              <o:lock v:ext="edit" aspectratio="f"/>
              <v:textbox inset="0mm,0mm,0mm,0mm" style="mso-fit-shape-to-text:t;">
                <w:txbxContent>
                  <w:p w14:paraId="3CBB484F">
                    <w:pPr>
                      <w:pStyle w:val="13"/>
                    </w:pPr>
                    <w:r>
                      <w:rPr>
                        <w:rFonts w:hint="eastAsia"/>
                      </w:rPr>
                      <w:t>—</w:t>
                    </w:r>
                    <w:r>
                      <w:rPr>
                        <w:sz w:val="24"/>
                        <w:szCs w:val="40"/>
                      </w:rPr>
                      <w:fldChar w:fldCharType="begin"/>
                    </w:r>
                    <w:r>
                      <w:rPr>
                        <w:sz w:val="24"/>
                        <w:szCs w:val="40"/>
                      </w:rPr>
                      <w:instrText xml:space="preserve"> PAGE  \* MERGEFORMAT </w:instrText>
                    </w:r>
                    <w:r>
                      <w:rPr>
                        <w:sz w:val="24"/>
                        <w:szCs w:val="40"/>
                      </w:rPr>
                      <w:fldChar w:fldCharType="separate"/>
                    </w:r>
                    <w:r>
                      <w:rPr>
                        <w:sz w:val="24"/>
                        <w:szCs w:val="40"/>
                      </w:rPr>
                      <w:t>24</w:t>
                    </w:r>
                    <w:r>
                      <w:rPr>
                        <w:sz w:val="24"/>
                        <w:szCs w:val="40"/>
                      </w:rPr>
                      <w:fldChar w:fldCharType="end"/>
                    </w:r>
                    <w:r>
                      <w:rPr>
                        <w:rFonts w:hint="eastAsia"/>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23C2ADE">
      <w:pPr>
        <w:pStyle w:val="16"/>
      </w:pPr>
      <w:r>
        <w:rPr>
          <w:rFonts w:hint="eastAsia"/>
        </w:rPr>
        <w:t>[</w:t>
      </w:r>
      <w:r>
        <w:rPr>
          <w:rFonts w:hint="eastAsia"/>
        </w:rPr>
        <w:footnoteRef/>
      </w:r>
      <w:r>
        <w:rPr>
          <w:rFonts w:hint="eastAsia"/>
        </w:rPr>
        <w:t>] 《中华人民共和国安全生产法》第二十五条　生产经营单位的安全生产管理机构以及安全生产管理人员履行下列职责:（一）组织或者参与拟订本单位安全生产规章制度、操作规程和生产安全事故应急救援预案；（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六）制止和纠正违章指挥、强令冒险作业、违反操作规程的行为；（七）督促落实本单位安全生产整改措施。</w:t>
      </w:r>
    </w:p>
    <w:p w14:paraId="202FF2C6">
      <w:pPr>
        <w:pStyle w:val="16"/>
        <w:adjustRightInd w:val="0"/>
      </w:pPr>
    </w:p>
  </w:footnote>
  <w:footnote w:id="1">
    <w:p w14:paraId="11A45FEF">
      <w:pPr>
        <w:pStyle w:val="16"/>
        <w:adjustRightInd w:val="0"/>
      </w:pPr>
      <w:r>
        <w:rPr>
          <w:rFonts w:hint="eastAsia"/>
        </w:rPr>
        <w:t>[</w:t>
      </w:r>
      <w:r>
        <w:rPr>
          <w:rFonts w:hint="eastAsia"/>
        </w:rPr>
        <w:footnoteRef/>
      </w:r>
      <w:r>
        <w:rPr>
          <w:rFonts w:hint="eastAsia"/>
        </w:rPr>
        <w:t>] 《中华人民共和国安全生产法》第二十一条  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2">
    <w:p w14:paraId="5787CEB5">
      <w:pPr>
        <w:pStyle w:val="16"/>
      </w:pPr>
      <w:r>
        <w:rPr>
          <w:rFonts w:hint="eastAsia"/>
        </w:rPr>
        <w:t>[</w:t>
      </w:r>
      <w:r>
        <w:rPr>
          <w:rFonts w:hint="eastAsia"/>
        </w:rPr>
        <w:footnoteRef/>
      </w:r>
      <w:r>
        <w:rPr>
          <w:rFonts w:hint="eastAsia"/>
        </w:rPr>
        <w:t>] 《中华人民共和国安全生产法》第四条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3">
    <w:p w14:paraId="49AE4A64">
      <w:pPr>
        <w:pStyle w:val="16"/>
      </w:pPr>
      <w:r>
        <w:rPr>
          <w:rFonts w:hint="eastAsia"/>
        </w:rPr>
        <w:t>[</w:t>
      </w:r>
      <w:r>
        <w:rPr>
          <w:rFonts w:hint="eastAsia"/>
        </w:rPr>
        <w:footnoteRef/>
      </w:r>
      <w:r>
        <w:rPr>
          <w:rFonts w:hint="eastAsia"/>
        </w:rPr>
        <w:t>] 《中华人民共和国安全生产法》</w:t>
      </w:r>
      <w:r>
        <w:t>第四十一条 </w:t>
      </w:r>
      <w:r>
        <w:rPr>
          <w:rFonts w:hint="eastAsia"/>
        </w:rPr>
        <w:t xml:space="preserve">  </w:t>
      </w:r>
      <w:r>
        <w:t>生产经营单位应当建立安全风险分级管控制度，按照安全风险分级采取相应的管控措施。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9F84C">
    <w:pPr>
      <w:pStyle w:val="14"/>
      <w:rPr>
        <w:sz w:val="21"/>
        <w:szCs w:val="21"/>
      </w:rPr>
    </w:pPr>
    <w:r>
      <w:rPr>
        <w:rFonts w:hint="eastAsia"/>
        <w:sz w:val="21"/>
        <w:szCs w:val="21"/>
      </w:rPr>
      <w:t>河津清涧山西阳光焦化集团股份有限公司“8·8”一般中毒和窒息事故调查报告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8"/>
    <w:footnote w:id="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0ZjA0ZmM0NDJkNGI2OTY0MzIxYTQwYTY5MDY3ZTUifQ=="/>
    <w:docVar w:name="KSO_WPS_MARK_KEY" w:val="83c00b0e-b734-4411-bea0-5e273e0dbba8"/>
  </w:docVars>
  <w:rsids>
    <w:rsidRoot w:val="00A46162"/>
    <w:rsid w:val="00002BFC"/>
    <w:rsid w:val="000131A3"/>
    <w:rsid w:val="00024757"/>
    <w:rsid w:val="0002760F"/>
    <w:rsid w:val="00030211"/>
    <w:rsid w:val="00031947"/>
    <w:rsid w:val="00034600"/>
    <w:rsid w:val="00042277"/>
    <w:rsid w:val="00047A48"/>
    <w:rsid w:val="00052FE2"/>
    <w:rsid w:val="00057BAB"/>
    <w:rsid w:val="00062491"/>
    <w:rsid w:val="00065356"/>
    <w:rsid w:val="00066288"/>
    <w:rsid w:val="00073497"/>
    <w:rsid w:val="00076EF0"/>
    <w:rsid w:val="00081241"/>
    <w:rsid w:val="000813C1"/>
    <w:rsid w:val="00085B96"/>
    <w:rsid w:val="000873E2"/>
    <w:rsid w:val="00087C74"/>
    <w:rsid w:val="00091BFF"/>
    <w:rsid w:val="00092C83"/>
    <w:rsid w:val="00093288"/>
    <w:rsid w:val="000941DF"/>
    <w:rsid w:val="000A3616"/>
    <w:rsid w:val="000A3903"/>
    <w:rsid w:val="000A42A8"/>
    <w:rsid w:val="000A4A4F"/>
    <w:rsid w:val="000C03EA"/>
    <w:rsid w:val="000C173A"/>
    <w:rsid w:val="000C2BF6"/>
    <w:rsid w:val="000C3DA8"/>
    <w:rsid w:val="000C4209"/>
    <w:rsid w:val="000C61E1"/>
    <w:rsid w:val="000D1828"/>
    <w:rsid w:val="000D32EF"/>
    <w:rsid w:val="000D3C14"/>
    <w:rsid w:val="000D60D4"/>
    <w:rsid w:val="000E6C60"/>
    <w:rsid w:val="000E75BD"/>
    <w:rsid w:val="000F14A0"/>
    <w:rsid w:val="00100B6C"/>
    <w:rsid w:val="001113BD"/>
    <w:rsid w:val="001151FA"/>
    <w:rsid w:val="00115D7C"/>
    <w:rsid w:val="001229FD"/>
    <w:rsid w:val="0014787E"/>
    <w:rsid w:val="00147F7D"/>
    <w:rsid w:val="001550AE"/>
    <w:rsid w:val="001635A2"/>
    <w:rsid w:val="00163B4F"/>
    <w:rsid w:val="001678FE"/>
    <w:rsid w:val="00174DD3"/>
    <w:rsid w:val="00183562"/>
    <w:rsid w:val="00186BF0"/>
    <w:rsid w:val="001917B2"/>
    <w:rsid w:val="00192DCE"/>
    <w:rsid w:val="0019412F"/>
    <w:rsid w:val="001B0445"/>
    <w:rsid w:val="001B2636"/>
    <w:rsid w:val="001B30A4"/>
    <w:rsid w:val="001C0B50"/>
    <w:rsid w:val="001C545F"/>
    <w:rsid w:val="001D0126"/>
    <w:rsid w:val="001D3A2F"/>
    <w:rsid w:val="001D61D6"/>
    <w:rsid w:val="001E1422"/>
    <w:rsid w:val="001E4E0F"/>
    <w:rsid w:val="001E7681"/>
    <w:rsid w:val="001F0862"/>
    <w:rsid w:val="001F7F58"/>
    <w:rsid w:val="00200196"/>
    <w:rsid w:val="00200573"/>
    <w:rsid w:val="0020711E"/>
    <w:rsid w:val="00207853"/>
    <w:rsid w:val="002152B1"/>
    <w:rsid w:val="00230603"/>
    <w:rsid w:val="002329F1"/>
    <w:rsid w:val="00243D2D"/>
    <w:rsid w:val="00246C1F"/>
    <w:rsid w:val="00247EDB"/>
    <w:rsid w:val="00265E0F"/>
    <w:rsid w:val="00275C2B"/>
    <w:rsid w:val="00277215"/>
    <w:rsid w:val="002776D0"/>
    <w:rsid w:val="00286303"/>
    <w:rsid w:val="002A4946"/>
    <w:rsid w:val="002B4295"/>
    <w:rsid w:val="002B57A8"/>
    <w:rsid w:val="002C42BA"/>
    <w:rsid w:val="002C6F80"/>
    <w:rsid w:val="002D492A"/>
    <w:rsid w:val="002E00DD"/>
    <w:rsid w:val="002E049E"/>
    <w:rsid w:val="002E3264"/>
    <w:rsid w:val="002F4A29"/>
    <w:rsid w:val="002F7568"/>
    <w:rsid w:val="0030017B"/>
    <w:rsid w:val="00307107"/>
    <w:rsid w:val="0031030C"/>
    <w:rsid w:val="00313A6B"/>
    <w:rsid w:val="003166F9"/>
    <w:rsid w:val="00316AEC"/>
    <w:rsid w:val="00322FB7"/>
    <w:rsid w:val="00324F3E"/>
    <w:rsid w:val="00335BFA"/>
    <w:rsid w:val="0034671D"/>
    <w:rsid w:val="00350288"/>
    <w:rsid w:val="00350A06"/>
    <w:rsid w:val="003513F3"/>
    <w:rsid w:val="00351717"/>
    <w:rsid w:val="003549A1"/>
    <w:rsid w:val="00357A20"/>
    <w:rsid w:val="003654DB"/>
    <w:rsid w:val="0037509F"/>
    <w:rsid w:val="00385C46"/>
    <w:rsid w:val="003A11F0"/>
    <w:rsid w:val="003A5A14"/>
    <w:rsid w:val="003A6292"/>
    <w:rsid w:val="003B135B"/>
    <w:rsid w:val="003B712D"/>
    <w:rsid w:val="003B7A9E"/>
    <w:rsid w:val="003C0053"/>
    <w:rsid w:val="003C02B7"/>
    <w:rsid w:val="003C097A"/>
    <w:rsid w:val="003C0DC4"/>
    <w:rsid w:val="003C1C2B"/>
    <w:rsid w:val="003C1E41"/>
    <w:rsid w:val="003C5403"/>
    <w:rsid w:val="003C6EF8"/>
    <w:rsid w:val="003D0D90"/>
    <w:rsid w:val="003D28C1"/>
    <w:rsid w:val="003D37B9"/>
    <w:rsid w:val="003D5D74"/>
    <w:rsid w:val="003D5FDC"/>
    <w:rsid w:val="003E20D7"/>
    <w:rsid w:val="003E2F06"/>
    <w:rsid w:val="003E523F"/>
    <w:rsid w:val="003E647E"/>
    <w:rsid w:val="003E7A4C"/>
    <w:rsid w:val="003F2105"/>
    <w:rsid w:val="003F5DCC"/>
    <w:rsid w:val="00410138"/>
    <w:rsid w:val="004174E6"/>
    <w:rsid w:val="00417CDE"/>
    <w:rsid w:val="00421E66"/>
    <w:rsid w:val="00423380"/>
    <w:rsid w:val="00437CA7"/>
    <w:rsid w:val="0044043D"/>
    <w:rsid w:val="00441576"/>
    <w:rsid w:val="004417F6"/>
    <w:rsid w:val="0044210D"/>
    <w:rsid w:val="00442D77"/>
    <w:rsid w:val="00443A88"/>
    <w:rsid w:val="00446FDB"/>
    <w:rsid w:val="004476B4"/>
    <w:rsid w:val="00450DBF"/>
    <w:rsid w:val="00461A0D"/>
    <w:rsid w:val="004656EB"/>
    <w:rsid w:val="0047724E"/>
    <w:rsid w:val="00481234"/>
    <w:rsid w:val="004834B0"/>
    <w:rsid w:val="00487545"/>
    <w:rsid w:val="0049252A"/>
    <w:rsid w:val="004949F6"/>
    <w:rsid w:val="004A425C"/>
    <w:rsid w:val="004A57DA"/>
    <w:rsid w:val="004B03C1"/>
    <w:rsid w:val="004B3DBE"/>
    <w:rsid w:val="004B6E73"/>
    <w:rsid w:val="004C51CE"/>
    <w:rsid w:val="004D0BCD"/>
    <w:rsid w:val="004D0C92"/>
    <w:rsid w:val="004E4790"/>
    <w:rsid w:val="004E4F9B"/>
    <w:rsid w:val="004F5CCA"/>
    <w:rsid w:val="004F67A6"/>
    <w:rsid w:val="004F7BD9"/>
    <w:rsid w:val="0050108B"/>
    <w:rsid w:val="00501CE6"/>
    <w:rsid w:val="00504033"/>
    <w:rsid w:val="0050638A"/>
    <w:rsid w:val="00506D4E"/>
    <w:rsid w:val="00507FB5"/>
    <w:rsid w:val="005240E6"/>
    <w:rsid w:val="00524BFC"/>
    <w:rsid w:val="00527AA6"/>
    <w:rsid w:val="005308A5"/>
    <w:rsid w:val="00533014"/>
    <w:rsid w:val="005339A3"/>
    <w:rsid w:val="00534C42"/>
    <w:rsid w:val="00536794"/>
    <w:rsid w:val="00545D34"/>
    <w:rsid w:val="00553F0E"/>
    <w:rsid w:val="00553FDD"/>
    <w:rsid w:val="00557A92"/>
    <w:rsid w:val="0056072B"/>
    <w:rsid w:val="00562DC2"/>
    <w:rsid w:val="005639E8"/>
    <w:rsid w:val="005748DF"/>
    <w:rsid w:val="00577912"/>
    <w:rsid w:val="005822C4"/>
    <w:rsid w:val="005A658E"/>
    <w:rsid w:val="005B2CCC"/>
    <w:rsid w:val="005B3919"/>
    <w:rsid w:val="005C3BC0"/>
    <w:rsid w:val="005C3FEE"/>
    <w:rsid w:val="005E4AD0"/>
    <w:rsid w:val="005E501A"/>
    <w:rsid w:val="005E7ABC"/>
    <w:rsid w:val="005F136F"/>
    <w:rsid w:val="005F2232"/>
    <w:rsid w:val="005F6DE0"/>
    <w:rsid w:val="006017BF"/>
    <w:rsid w:val="00614523"/>
    <w:rsid w:val="0061498E"/>
    <w:rsid w:val="00615C12"/>
    <w:rsid w:val="0062195E"/>
    <w:rsid w:val="00621C19"/>
    <w:rsid w:val="00622997"/>
    <w:rsid w:val="0062411D"/>
    <w:rsid w:val="00636CA8"/>
    <w:rsid w:val="00636EF6"/>
    <w:rsid w:val="0064743A"/>
    <w:rsid w:val="00652EE8"/>
    <w:rsid w:val="006537F6"/>
    <w:rsid w:val="0065554F"/>
    <w:rsid w:val="00662287"/>
    <w:rsid w:val="00665686"/>
    <w:rsid w:val="006773AB"/>
    <w:rsid w:val="0067749F"/>
    <w:rsid w:val="006850F9"/>
    <w:rsid w:val="00696032"/>
    <w:rsid w:val="006A369A"/>
    <w:rsid w:val="006B0037"/>
    <w:rsid w:val="006B3D47"/>
    <w:rsid w:val="006B67E6"/>
    <w:rsid w:val="006B7DAB"/>
    <w:rsid w:val="006C133D"/>
    <w:rsid w:val="006C45DC"/>
    <w:rsid w:val="006E2938"/>
    <w:rsid w:val="00702A85"/>
    <w:rsid w:val="00703CC1"/>
    <w:rsid w:val="00706682"/>
    <w:rsid w:val="007121F5"/>
    <w:rsid w:val="0071347A"/>
    <w:rsid w:val="00713CDF"/>
    <w:rsid w:val="0071608B"/>
    <w:rsid w:val="00724552"/>
    <w:rsid w:val="007359EC"/>
    <w:rsid w:val="00737328"/>
    <w:rsid w:val="0074302C"/>
    <w:rsid w:val="007444ED"/>
    <w:rsid w:val="00747633"/>
    <w:rsid w:val="00751055"/>
    <w:rsid w:val="00752264"/>
    <w:rsid w:val="00755A5A"/>
    <w:rsid w:val="00757D8B"/>
    <w:rsid w:val="00761D46"/>
    <w:rsid w:val="00764B8F"/>
    <w:rsid w:val="00772706"/>
    <w:rsid w:val="007735CA"/>
    <w:rsid w:val="00787BCA"/>
    <w:rsid w:val="00796DA2"/>
    <w:rsid w:val="007A02E8"/>
    <w:rsid w:val="007A19D9"/>
    <w:rsid w:val="007A5BA2"/>
    <w:rsid w:val="007B2191"/>
    <w:rsid w:val="007B37D2"/>
    <w:rsid w:val="007B4A53"/>
    <w:rsid w:val="007B7AF1"/>
    <w:rsid w:val="007C1E3A"/>
    <w:rsid w:val="007C2D15"/>
    <w:rsid w:val="007C4429"/>
    <w:rsid w:val="007D1929"/>
    <w:rsid w:val="007D56F7"/>
    <w:rsid w:val="007E0BD1"/>
    <w:rsid w:val="007E572A"/>
    <w:rsid w:val="007F68EA"/>
    <w:rsid w:val="0080141F"/>
    <w:rsid w:val="008027B0"/>
    <w:rsid w:val="00802E84"/>
    <w:rsid w:val="00803E04"/>
    <w:rsid w:val="00805595"/>
    <w:rsid w:val="0080717B"/>
    <w:rsid w:val="0081779A"/>
    <w:rsid w:val="00820110"/>
    <w:rsid w:val="00820FB4"/>
    <w:rsid w:val="00844C10"/>
    <w:rsid w:val="00845522"/>
    <w:rsid w:val="008459AA"/>
    <w:rsid w:val="0084630E"/>
    <w:rsid w:val="0084677F"/>
    <w:rsid w:val="008475B8"/>
    <w:rsid w:val="008476C8"/>
    <w:rsid w:val="00847A78"/>
    <w:rsid w:val="00850894"/>
    <w:rsid w:val="008518CE"/>
    <w:rsid w:val="00852B3D"/>
    <w:rsid w:val="0086540A"/>
    <w:rsid w:val="0087080A"/>
    <w:rsid w:val="008765AF"/>
    <w:rsid w:val="00887BA6"/>
    <w:rsid w:val="00890FCF"/>
    <w:rsid w:val="008C23A1"/>
    <w:rsid w:val="008C2F21"/>
    <w:rsid w:val="008C3112"/>
    <w:rsid w:val="008C67DC"/>
    <w:rsid w:val="008C71DE"/>
    <w:rsid w:val="008C791C"/>
    <w:rsid w:val="008D5F81"/>
    <w:rsid w:val="008E380A"/>
    <w:rsid w:val="008F0F61"/>
    <w:rsid w:val="008F22A1"/>
    <w:rsid w:val="008F315F"/>
    <w:rsid w:val="008F3C9D"/>
    <w:rsid w:val="00906138"/>
    <w:rsid w:val="00914CD1"/>
    <w:rsid w:val="00915127"/>
    <w:rsid w:val="009158DE"/>
    <w:rsid w:val="00915BEE"/>
    <w:rsid w:val="00916BC3"/>
    <w:rsid w:val="00917DDE"/>
    <w:rsid w:val="009479E3"/>
    <w:rsid w:val="009510D5"/>
    <w:rsid w:val="0095238F"/>
    <w:rsid w:val="009663DC"/>
    <w:rsid w:val="00966E34"/>
    <w:rsid w:val="00982B75"/>
    <w:rsid w:val="0098335F"/>
    <w:rsid w:val="00984822"/>
    <w:rsid w:val="009857DE"/>
    <w:rsid w:val="00986FF2"/>
    <w:rsid w:val="00987C8A"/>
    <w:rsid w:val="00996035"/>
    <w:rsid w:val="009A27B0"/>
    <w:rsid w:val="009A3D7F"/>
    <w:rsid w:val="009B23ED"/>
    <w:rsid w:val="009C427E"/>
    <w:rsid w:val="009D1804"/>
    <w:rsid w:val="009D538B"/>
    <w:rsid w:val="009D6D02"/>
    <w:rsid w:val="009F1416"/>
    <w:rsid w:val="009F2B85"/>
    <w:rsid w:val="009F4B3A"/>
    <w:rsid w:val="00A03406"/>
    <w:rsid w:val="00A04E66"/>
    <w:rsid w:val="00A064A0"/>
    <w:rsid w:val="00A06819"/>
    <w:rsid w:val="00A10910"/>
    <w:rsid w:val="00A14E27"/>
    <w:rsid w:val="00A16172"/>
    <w:rsid w:val="00A16EC2"/>
    <w:rsid w:val="00A24E84"/>
    <w:rsid w:val="00A24F19"/>
    <w:rsid w:val="00A3295D"/>
    <w:rsid w:val="00A37BF8"/>
    <w:rsid w:val="00A42D92"/>
    <w:rsid w:val="00A46162"/>
    <w:rsid w:val="00A526C3"/>
    <w:rsid w:val="00A52B81"/>
    <w:rsid w:val="00A530BE"/>
    <w:rsid w:val="00A5491C"/>
    <w:rsid w:val="00A5615E"/>
    <w:rsid w:val="00A57FAD"/>
    <w:rsid w:val="00A60B8C"/>
    <w:rsid w:val="00A624F6"/>
    <w:rsid w:val="00A65DAA"/>
    <w:rsid w:val="00A73491"/>
    <w:rsid w:val="00A73650"/>
    <w:rsid w:val="00A74336"/>
    <w:rsid w:val="00A81FF9"/>
    <w:rsid w:val="00A96066"/>
    <w:rsid w:val="00AA21C1"/>
    <w:rsid w:val="00AA5B0E"/>
    <w:rsid w:val="00AB43EE"/>
    <w:rsid w:val="00AB4FFC"/>
    <w:rsid w:val="00AB5563"/>
    <w:rsid w:val="00AC065E"/>
    <w:rsid w:val="00AC0799"/>
    <w:rsid w:val="00AC1D2C"/>
    <w:rsid w:val="00AD20D4"/>
    <w:rsid w:val="00AD5364"/>
    <w:rsid w:val="00AD5D33"/>
    <w:rsid w:val="00AE3687"/>
    <w:rsid w:val="00AF3B20"/>
    <w:rsid w:val="00B00622"/>
    <w:rsid w:val="00B02D02"/>
    <w:rsid w:val="00B02E97"/>
    <w:rsid w:val="00B03D25"/>
    <w:rsid w:val="00B069DB"/>
    <w:rsid w:val="00B06CA5"/>
    <w:rsid w:val="00B1197D"/>
    <w:rsid w:val="00B13B1C"/>
    <w:rsid w:val="00B20D6A"/>
    <w:rsid w:val="00B21ABF"/>
    <w:rsid w:val="00B25991"/>
    <w:rsid w:val="00B30E94"/>
    <w:rsid w:val="00B60687"/>
    <w:rsid w:val="00B65956"/>
    <w:rsid w:val="00B66DDB"/>
    <w:rsid w:val="00B7253A"/>
    <w:rsid w:val="00B72D86"/>
    <w:rsid w:val="00B77128"/>
    <w:rsid w:val="00B829AC"/>
    <w:rsid w:val="00B84368"/>
    <w:rsid w:val="00B8671A"/>
    <w:rsid w:val="00B91495"/>
    <w:rsid w:val="00B914CC"/>
    <w:rsid w:val="00B93A2B"/>
    <w:rsid w:val="00B9433E"/>
    <w:rsid w:val="00BA5151"/>
    <w:rsid w:val="00BA6EFA"/>
    <w:rsid w:val="00BB1885"/>
    <w:rsid w:val="00BB6AEC"/>
    <w:rsid w:val="00BD06F3"/>
    <w:rsid w:val="00BD171A"/>
    <w:rsid w:val="00BE1CE4"/>
    <w:rsid w:val="00BE58EB"/>
    <w:rsid w:val="00BF1142"/>
    <w:rsid w:val="00BF5948"/>
    <w:rsid w:val="00BF5B65"/>
    <w:rsid w:val="00BF6569"/>
    <w:rsid w:val="00C053AE"/>
    <w:rsid w:val="00C05860"/>
    <w:rsid w:val="00C074B0"/>
    <w:rsid w:val="00C27A89"/>
    <w:rsid w:val="00C31548"/>
    <w:rsid w:val="00C35151"/>
    <w:rsid w:val="00C354DB"/>
    <w:rsid w:val="00C407C7"/>
    <w:rsid w:val="00C51B4C"/>
    <w:rsid w:val="00C539CD"/>
    <w:rsid w:val="00C5639A"/>
    <w:rsid w:val="00C60C39"/>
    <w:rsid w:val="00C66086"/>
    <w:rsid w:val="00C71847"/>
    <w:rsid w:val="00C71955"/>
    <w:rsid w:val="00C75DBF"/>
    <w:rsid w:val="00C8396A"/>
    <w:rsid w:val="00C92FBE"/>
    <w:rsid w:val="00C93932"/>
    <w:rsid w:val="00C9580A"/>
    <w:rsid w:val="00CA2D22"/>
    <w:rsid w:val="00CA3815"/>
    <w:rsid w:val="00CA5278"/>
    <w:rsid w:val="00CA56E6"/>
    <w:rsid w:val="00CB0FD1"/>
    <w:rsid w:val="00CB5836"/>
    <w:rsid w:val="00CB5BEF"/>
    <w:rsid w:val="00CC2648"/>
    <w:rsid w:val="00CE229F"/>
    <w:rsid w:val="00CE772F"/>
    <w:rsid w:val="00CF1F2B"/>
    <w:rsid w:val="00CF2B5E"/>
    <w:rsid w:val="00CF545C"/>
    <w:rsid w:val="00D009AE"/>
    <w:rsid w:val="00D01F6F"/>
    <w:rsid w:val="00D04809"/>
    <w:rsid w:val="00D11614"/>
    <w:rsid w:val="00D11AA3"/>
    <w:rsid w:val="00D133B5"/>
    <w:rsid w:val="00D202EB"/>
    <w:rsid w:val="00D336A6"/>
    <w:rsid w:val="00D35130"/>
    <w:rsid w:val="00D35279"/>
    <w:rsid w:val="00D44960"/>
    <w:rsid w:val="00D51485"/>
    <w:rsid w:val="00D52D2B"/>
    <w:rsid w:val="00D5495F"/>
    <w:rsid w:val="00D769F7"/>
    <w:rsid w:val="00D7751A"/>
    <w:rsid w:val="00D83682"/>
    <w:rsid w:val="00D845AC"/>
    <w:rsid w:val="00D90EF9"/>
    <w:rsid w:val="00D925B8"/>
    <w:rsid w:val="00D956B0"/>
    <w:rsid w:val="00DA609F"/>
    <w:rsid w:val="00DB2068"/>
    <w:rsid w:val="00DC1BDA"/>
    <w:rsid w:val="00DC486E"/>
    <w:rsid w:val="00DE098C"/>
    <w:rsid w:val="00DE328C"/>
    <w:rsid w:val="00DF1A26"/>
    <w:rsid w:val="00DF3269"/>
    <w:rsid w:val="00DF77ED"/>
    <w:rsid w:val="00E033EA"/>
    <w:rsid w:val="00E038A1"/>
    <w:rsid w:val="00E06079"/>
    <w:rsid w:val="00E0621D"/>
    <w:rsid w:val="00E07BFE"/>
    <w:rsid w:val="00E11D02"/>
    <w:rsid w:val="00E21E10"/>
    <w:rsid w:val="00E239FE"/>
    <w:rsid w:val="00E31ECD"/>
    <w:rsid w:val="00E32791"/>
    <w:rsid w:val="00E36DF1"/>
    <w:rsid w:val="00E41615"/>
    <w:rsid w:val="00E44BF6"/>
    <w:rsid w:val="00E44CDE"/>
    <w:rsid w:val="00E47098"/>
    <w:rsid w:val="00E55A1D"/>
    <w:rsid w:val="00E568A5"/>
    <w:rsid w:val="00E6026A"/>
    <w:rsid w:val="00E73459"/>
    <w:rsid w:val="00E7355C"/>
    <w:rsid w:val="00E94E93"/>
    <w:rsid w:val="00EA5064"/>
    <w:rsid w:val="00EA5F2A"/>
    <w:rsid w:val="00EA6EA5"/>
    <w:rsid w:val="00EB3CE9"/>
    <w:rsid w:val="00EB5A4B"/>
    <w:rsid w:val="00EC0C99"/>
    <w:rsid w:val="00EC2667"/>
    <w:rsid w:val="00EC2764"/>
    <w:rsid w:val="00ED2F9F"/>
    <w:rsid w:val="00EE006D"/>
    <w:rsid w:val="00EE1139"/>
    <w:rsid w:val="00EE387C"/>
    <w:rsid w:val="00EE5500"/>
    <w:rsid w:val="00EF0753"/>
    <w:rsid w:val="00EF4D96"/>
    <w:rsid w:val="00EF6406"/>
    <w:rsid w:val="00EF68E2"/>
    <w:rsid w:val="00F00978"/>
    <w:rsid w:val="00F01BB8"/>
    <w:rsid w:val="00F167F5"/>
    <w:rsid w:val="00F23321"/>
    <w:rsid w:val="00F3535E"/>
    <w:rsid w:val="00F35EB8"/>
    <w:rsid w:val="00F54B45"/>
    <w:rsid w:val="00F55071"/>
    <w:rsid w:val="00F646E3"/>
    <w:rsid w:val="00F72224"/>
    <w:rsid w:val="00F727B4"/>
    <w:rsid w:val="00F74B09"/>
    <w:rsid w:val="00F74F77"/>
    <w:rsid w:val="00F76FA6"/>
    <w:rsid w:val="00F8048F"/>
    <w:rsid w:val="00F87136"/>
    <w:rsid w:val="00F908FD"/>
    <w:rsid w:val="00F94749"/>
    <w:rsid w:val="00FA21CD"/>
    <w:rsid w:val="00FA31CA"/>
    <w:rsid w:val="00FA638C"/>
    <w:rsid w:val="00FB0C12"/>
    <w:rsid w:val="00FB19C3"/>
    <w:rsid w:val="00FB28D2"/>
    <w:rsid w:val="00FB2FA7"/>
    <w:rsid w:val="00FB56D1"/>
    <w:rsid w:val="00FC0340"/>
    <w:rsid w:val="00FC73DB"/>
    <w:rsid w:val="00FD0351"/>
    <w:rsid w:val="00FD207A"/>
    <w:rsid w:val="00FD497A"/>
    <w:rsid w:val="00FD5AA3"/>
    <w:rsid w:val="00FF0EDA"/>
    <w:rsid w:val="00FF5E9D"/>
    <w:rsid w:val="01080A12"/>
    <w:rsid w:val="010A739B"/>
    <w:rsid w:val="01124501"/>
    <w:rsid w:val="011253ED"/>
    <w:rsid w:val="01174959"/>
    <w:rsid w:val="011D0BE8"/>
    <w:rsid w:val="01203FAE"/>
    <w:rsid w:val="01510BEF"/>
    <w:rsid w:val="015B11D6"/>
    <w:rsid w:val="016A6FD7"/>
    <w:rsid w:val="016F1763"/>
    <w:rsid w:val="017E7B12"/>
    <w:rsid w:val="018C1375"/>
    <w:rsid w:val="01910A08"/>
    <w:rsid w:val="019561E1"/>
    <w:rsid w:val="01D573D8"/>
    <w:rsid w:val="01EC20E2"/>
    <w:rsid w:val="01F176F8"/>
    <w:rsid w:val="01F36FCC"/>
    <w:rsid w:val="01F50132"/>
    <w:rsid w:val="02070CCA"/>
    <w:rsid w:val="02113208"/>
    <w:rsid w:val="02181129"/>
    <w:rsid w:val="021D37BD"/>
    <w:rsid w:val="02404C62"/>
    <w:rsid w:val="025D6B3C"/>
    <w:rsid w:val="027065D6"/>
    <w:rsid w:val="02775E4F"/>
    <w:rsid w:val="027C6235"/>
    <w:rsid w:val="02884B93"/>
    <w:rsid w:val="028E13EB"/>
    <w:rsid w:val="02A93B2F"/>
    <w:rsid w:val="02B706BA"/>
    <w:rsid w:val="02B70F1C"/>
    <w:rsid w:val="02BB53DF"/>
    <w:rsid w:val="02BF3353"/>
    <w:rsid w:val="02D634CE"/>
    <w:rsid w:val="030671D3"/>
    <w:rsid w:val="030A119C"/>
    <w:rsid w:val="03325DCD"/>
    <w:rsid w:val="03461DDB"/>
    <w:rsid w:val="034A5312"/>
    <w:rsid w:val="035B12CD"/>
    <w:rsid w:val="03604B36"/>
    <w:rsid w:val="0365214C"/>
    <w:rsid w:val="03726617"/>
    <w:rsid w:val="037E320E"/>
    <w:rsid w:val="03876238"/>
    <w:rsid w:val="03942A31"/>
    <w:rsid w:val="03960647"/>
    <w:rsid w:val="03993BA4"/>
    <w:rsid w:val="03B46384"/>
    <w:rsid w:val="03BE360A"/>
    <w:rsid w:val="03CA1FAF"/>
    <w:rsid w:val="03D379E9"/>
    <w:rsid w:val="03D55543"/>
    <w:rsid w:val="03D746CC"/>
    <w:rsid w:val="03E8167A"/>
    <w:rsid w:val="03F80CEA"/>
    <w:rsid w:val="040C0819"/>
    <w:rsid w:val="04225E0D"/>
    <w:rsid w:val="04281C27"/>
    <w:rsid w:val="048279CD"/>
    <w:rsid w:val="048638CD"/>
    <w:rsid w:val="04D065B4"/>
    <w:rsid w:val="04ED7BB9"/>
    <w:rsid w:val="04F03C97"/>
    <w:rsid w:val="04F539EB"/>
    <w:rsid w:val="04FB7299"/>
    <w:rsid w:val="051528EC"/>
    <w:rsid w:val="0520188A"/>
    <w:rsid w:val="05284854"/>
    <w:rsid w:val="052B1173"/>
    <w:rsid w:val="05364875"/>
    <w:rsid w:val="055406CA"/>
    <w:rsid w:val="056273E3"/>
    <w:rsid w:val="056B12A7"/>
    <w:rsid w:val="057228FE"/>
    <w:rsid w:val="057A221D"/>
    <w:rsid w:val="057D13FE"/>
    <w:rsid w:val="05887005"/>
    <w:rsid w:val="05911CD7"/>
    <w:rsid w:val="0594165F"/>
    <w:rsid w:val="059C5BCD"/>
    <w:rsid w:val="05A50F26"/>
    <w:rsid w:val="05AB7BBE"/>
    <w:rsid w:val="05BC001D"/>
    <w:rsid w:val="05C649F8"/>
    <w:rsid w:val="05D56111"/>
    <w:rsid w:val="05F872A7"/>
    <w:rsid w:val="05F94DCD"/>
    <w:rsid w:val="05FB4B1F"/>
    <w:rsid w:val="06076E25"/>
    <w:rsid w:val="060C2D53"/>
    <w:rsid w:val="061C3683"/>
    <w:rsid w:val="062A27EB"/>
    <w:rsid w:val="063858F6"/>
    <w:rsid w:val="064E336B"/>
    <w:rsid w:val="06622973"/>
    <w:rsid w:val="0676106D"/>
    <w:rsid w:val="068766B9"/>
    <w:rsid w:val="06880A22"/>
    <w:rsid w:val="06924EAD"/>
    <w:rsid w:val="06952D48"/>
    <w:rsid w:val="06971505"/>
    <w:rsid w:val="069E4BF1"/>
    <w:rsid w:val="06A26AA9"/>
    <w:rsid w:val="06BC4F91"/>
    <w:rsid w:val="06FA5960"/>
    <w:rsid w:val="06FF4665"/>
    <w:rsid w:val="07020B29"/>
    <w:rsid w:val="070752C8"/>
    <w:rsid w:val="070D0B30"/>
    <w:rsid w:val="072B67D2"/>
    <w:rsid w:val="0731579C"/>
    <w:rsid w:val="073D4CB7"/>
    <w:rsid w:val="07410BEE"/>
    <w:rsid w:val="07617EC3"/>
    <w:rsid w:val="07637028"/>
    <w:rsid w:val="07683FB9"/>
    <w:rsid w:val="07717FB8"/>
    <w:rsid w:val="077C7F6A"/>
    <w:rsid w:val="079364BB"/>
    <w:rsid w:val="07A07BF6"/>
    <w:rsid w:val="07A34FF1"/>
    <w:rsid w:val="07A8437E"/>
    <w:rsid w:val="07B751F8"/>
    <w:rsid w:val="07BB67DE"/>
    <w:rsid w:val="07BE1E2B"/>
    <w:rsid w:val="07C37441"/>
    <w:rsid w:val="07CF228A"/>
    <w:rsid w:val="07D770BA"/>
    <w:rsid w:val="07E13D6B"/>
    <w:rsid w:val="07EE7038"/>
    <w:rsid w:val="07F13FAE"/>
    <w:rsid w:val="084C7436"/>
    <w:rsid w:val="086152EC"/>
    <w:rsid w:val="086A3D60"/>
    <w:rsid w:val="086A5B0F"/>
    <w:rsid w:val="0889683A"/>
    <w:rsid w:val="088A4403"/>
    <w:rsid w:val="08950F6A"/>
    <w:rsid w:val="08A862ED"/>
    <w:rsid w:val="08AA0601"/>
    <w:rsid w:val="08AF4D90"/>
    <w:rsid w:val="08D666CE"/>
    <w:rsid w:val="08DA7138"/>
    <w:rsid w:val="08DC6B0F"/>
    <w:rsid w:val="08F875BE"/>
    <w:rsid w:val="08FC5DCD"/>
    <w:rsid w:val="090D306A"/>
    <w:rsid w:val="09181A0E"/>
    <w:rsid w:val="091A625A"/>
    <w:rsid w:val="09271C52"/>
    <w:rsid w:val="09310546"/>
    <w:rsid w:val="09366113"/>
    <w:rsid w:val="09542455"/>
    <w:rsid w:val="096160A6"/>
    <w:rsid w:val="096609CC"/>
    <w:rsid w:val="096B73FC"/>
    <w:rsid w:val="098E3A7F"/>
    <w:rsid w:val="099D3807"/>
    <w:rsid w:val="09B145E4"/>
    <w:rsid w:val="09B94F9F"/>
    <w:rsid w:val="09CF6571"/>
    <w:rsid w:val="09DE4A06"/>
    <w:rsid w:val="09E55D95"/>
    <w:rsid w:val="09F064E7"/>
    <w:rsid w:val="09FA4BA2"/>
    <w:rsid w:val="0A1C34D3"/>
    <w:rsid w:val="0A206DCD"/>
    <w:rsid w:val="0A6F38B0"/>
    <w:rsid w:val="0A7B4003"/>
    <w:rsid w:val="0A8D3D36"/>
    <w:rsid w:val="0A935528"/>
    <w:rsid w:val="0AA55524"/>
    <w:rsid w:val="0AA96DC2"/>
    <w:rsid w:val="0AB36F48"/>
    <w:rsid w:val="0AD11E75"/>
    <w:rsid w:val="0AFA13CC"/>
    <w:rsid w:val="0B111BF9"/>
    <w:rsid w:val="0B364677"/>
    <w:rsid w:val="0B4D1E43"/>
    <w:rsid w:val="0B5F3925"/>
    <w:rsid w:val="0B5F56D3"/>
    <w:rsid w:val="0B6D4294"/>
    <w:rsid w:val="0B7849E6"/>
    <w:rsid w:val="0B7A69B0"/>
    <w:rsid w:val="0B872A8F"/>
    <w:rsid w:val="0B8F08F0"/>
    <w:rsid w:val="0B9510F4"/>
    <w:rsid w:val="0B955598"/>
    <w:rsid w:val="0B9A670B"/>
    <w:rsid w:val="0BAC4697"/>
    <w:rsid w:val="0BAE658D"/>
    <w:rsid w:val="0BB91287"/>
    <w:rsid w:val="0BCA5242"/>
    <w:rsid w:val="0BD25EA5"/>
    <w:rsid w:val="0BD5109D"/>
    <w:rsid w:val="0BD53BE7"/>
    <w:rsid w:val="0C0505A5"/>
    <w:rsid w:val="0C327BF5"/>
    <w:rsid w:val="0C3628D7"/>
    <w:rsid w:val="0C3A6197"/>
    <w:rsid w:val="0C3A6343"/>
    <w:rsid w:val="0C4738BD"/>
    <w:rsid w:val="0C4C5716"/>
    <w:rsid w:val="0C517FD3"/>
    <w:rsid w:val="0C6329E2"/>
    <w:rsid w:val="0C9420A5"/>
    <w:rsid w:val="0C9A3D3C"/>
    <w:rsid w:val="0C9C332A"/>
    <w:rsid w:val="0CB16402"/>
    <w:rsid w:val="0CB16691"/>
    <w:rsid w:val="0D1500CF"/>
    <w:rsid w:val="0D303203"/>
    <w:rsid w:val="0D5C2DA7"/>
    <w:rsid w:val="0D774F56"/>
    <w:rsid w:val="0D790B08"/>
    <w:rsid w:val="0D7A4A46"/>
    <w:rsid w:val="0D904269"/>
    <w:rsid w:val="0D9C0360"/>
    <w:rsid w:val="0DBC0BBA"/>
    <w:rsid w:val="0DC50950"/>
    <w:rsid w:val="0DC57ABC"/>
    <w:rsid w:val="0DC67F8D"/>
    <w:rsid w:val="0DC96FE0"/>
    <w:rsid w:val="0DD1630F"/>
    <w:rsid w:val="0DD62A8A"/>
    <w:rsid w:val="0DDA4F49"/>
    <w:rsid w:val="0DDF0D4D"/>
    <w:rsid w:val="0DF920AE"/>
    <w:rsid w:val="0E04740F"/>
    <w:rsid w:val="0E15651D"/>
    <w:rsid w:val="0E1D7BE7"/>
    <w:rsid w:val="0E1E4BF1"/>
    <w:rsid w:val="0E31755E"/>
    <w:rsid w:val="0E462B7A"/>
    <w:rsid w:val="0E6A2D0C"/>
    <w:rsid w:val="0E73342F"/>
    <w:rsid w:val="0EA55AF2"/>
    <w:rsid w:val="0EB3315D"/>
    <w:rsid w:val="0EB83A78"/>
    <w:rsid w:val="0EE20AF5"/>
    <w:rsid w:val="0EF645A0"/>
    <w:rsid w:val="0F046C72"/>
    <w:rsid w:val="0F096081"/>
    <w:rsid w:val="0F1862C4"/>
    <w:rsid w:val="0F2F49E1"/>
    <w:rsid w:val="0F364EA2"/>
    <w:rsid w:val="0F40581B"/>
    <w:rsid w:val="0F580DB7"/>
    <w:rsid w:val="0F7B4AA5"/>
    <w:rsid w:val="0F8A33E8"/>
    <w:rsid w:val="0FAE09D7"/>
    <w:rsid w:val="0FB56209"/>
    <w:rsid w:val="0FF54858"/>
    <w:rsid w:val="10156E1C"/>
    <w:rsid w:val="10265B17"/>
    <w:rsid w:val="10466E61"/>
    <w:rsid w:val="10502A85"/>
    <w:rsid w:val="10594627"/>
    <w:rsid w:val="107439CE"/>
    <w:rsid w:val="10763744"/>
    <w:rsid w:val="107E2A9F"/>
    <w:rsid w:val="10802373"/>
    <w:rsid w:val="10887D92"/>
    <w:rsid w:val="109B53FF"/>
    <w:rsid w:val="109E4EEF"/>
    <w:rsid w:val="109E6C9D"/>
    <w:rsid w:val="10B95885"/>
    <w:rsid w:val="10C456EC"/>
    <w:rsid w:val="10C55FD8"/>
    <w:rsid w:val="10DB1C62"/>
    <w:rsid w:val="10F10D27"/>
    <w:rsid w:val="10F42D61"/>
    <w:rsid w:val="10F90377"/>
    <w:rsid w:val="11186A50"/>
    <w:rsid w:val="111F7337"/>
    <w:rsid w:val="11252648"/>
    <w:rsid w:val="112A66B2"/>
    <w:rsid w:val="113A1F01"/>
    <w:rsid w:val="11401B02"/>
    <w:rsid w:val="11497F61"/>
    <w:rsid w:val="115437B8"/>
    <w:rsid w:val="117479FE"/>
    <w:rsid w:val="118F342D"/>
    <w:rsid w:val="119500A0"/>
    <w:rsid w:val="11A622AD"/>
    <w:rsid w:val="11AB1672"/>
    <w:rsid w:val="11AD363C"/>
    <w:rsid w:val="11B3611D"/>
    <w:rsid w:val="11B66527"/>
    <w:rsid w:val="11C75232"/>
    <w:rsid w:val="11CA52D0"/>
    <w:rsid w:val="11E132E5"/>
    <w:rsid w:val="12160A3E"/>
    <w:rsid w:val="124473D0"/>
    <w:rsid w:val="124D44D7"/>
    <w:rsid w:val="12502219"/>
    <w:rsid w:val="126A32DB"/>
    <w:rsid w:val="12924CAB"/>
    <w:rsid w:val="129739A4"/>
    <w:rsid w:val="129B31AF"/>
    <w:rsid w:val="12A2143C"/>
    <w:rsid w:val="12B46304"/>
    <w:rsid w:val="12D5398E"/>
    <w:rsid w:val="12E32A93"/>
    <w:rsid w:val="12E61159"/>
    <w:rsid w:val="12E84200"/>
    <w:rsid w:val="12F17558"/>
    <w:rsid w:val="12FD414F"/>
    <w:rsid w:val="130D3782"/>
    <w:rsid w:val="131274CE"/>
    <w:rsid w:val="134B1FE3"/>
    <w:rsid w:val="134D0507"/>
    <w:rsid w:val="13517FF7"/>
    <w:rsid w:val="13655850"/>
    <w:rsid w:val="13693592"/>
    <w:rsid w:val="1380268A"/>
    <w:rsid w:val="138228A6"/>
    <w:rsid w:val="13946135"/>
    <w:rsid w:val="139B74C4"/>
    <w:rsid w:val="13AA5959"/>
    <w:rsid w:val="13D03611"/>
    <w:rsid w:val="13DA623E"/>
    <w:rsid w:val="1408373E"/>
    <w:rsid w:val="14117786"/>
    <w:rsid w:val="141A2ADF"/>
    <w:rsid w:val="141D3579"/>
    <w:rsid w:val="142D5A46"/>
    <w:rsid w:val="144E6EA0"/>
    <w:rsid w:val="14552EB1"/>
    <w:rsid w:val="145F04F1"/>
    <w:rsid w:val="146D2C0E"/>
    <w:rsid w:val="147230F6"/>
    <w:rsid w:val="14964A58"/>
    <w:rsid w:val="14A31264"/>
    <w:rsid w:val="14AA10DA"/>
    <w:rsid w:val="14AB3737"/>
    <w:rsid w:val="14C92941"/>
    <w:rsid w:val="14CF38C9"/>
    <w:rsid w:val="14EC3978"/>
    <w:rsid w:val="15127C5A"/>
    <w:rsid w:val="1514752E"/>
    <w:rsid w:val="15175605"/>
    <w:rsid w:val="151D2886"/>
    <w:rsid w:val="151E412B"/>
    <w:rsid w:val="15237771"/>
    <w:rsid w:val="152A6D51"/>
    <w:rsid w:val="152E4A94"/>
    <w:rsid w:val="15350B13"/>
    <w:rsid w:val="154047C7"/>
    <w:rsid w:val="15560485"/>
    <w:rsid w:val="156C1118"/>
    <w:rsid w:val="158C3568"/>
    <w:rsid w:val="15A14394"/>
    <w:rsid w:val="15A562CA"/>
    <w:rsid w:val="15A563D8"/>
    <w:rsid w:val="15B30485"/>
    <w:rsid w:val="15BF56ED"/>
    <w:rsid w:val="15C82F1F"/>
    <w:rsid w:val="15CC520E"/>
    <w:rsid w:val="15D60C87"/>
    <w:rsid w:val="15DB44F0"/>
    <w:rsid w:val="15DF7B3C"/>
    <w:rsid w:val="15E211F7"/>
    <w:rsid w:val="160B0931"/>
    <w:rsid w:val="160E6673"/>
    <w:rsid w:val="161065A9"/>
    <w:rsid w:val="16297009"/>
    <w:rsid w:val="16300397"/>
    <w:rsid w:val="164E081E"/>
    <w:rsid w:val="16774218"/>
    <w:rsid w:val="16787547"/>
    <w:rsid w:val="167B61DA"/>
    <w:rsid w:val="167F131F"/>
    <w:rsid w:val="16830AEB"/>
    <w:rsid w:val="16A20B69"/>
    <w:rsid w:val="16A3500D"/>
    <w:rsid w:val="16A444D5"/>
    <w:rsid w:val="16A96C09"/>
    <w:rsid w:val="16B20DAC"/>
    <w:rsid w:val="16CC74C4"/>
    <w:rsid w:val="16FE0496"/>
    <w:rsid w:val="17123F41"/>
    <w:rsid w:val="17173305"/>
    <w:rsid w:val="171A4BA4"/>
    <w:rsid w:val="17293BB5"/>
    <w:rsid w:val="17373195"/>
    <w:rsid w:val="173E6AE4"/>
    <w:rsid w:val="1743234C"/>
    <w:rsid w:val="174340FA"/>
    <w:rsid w:val="179B3F36"/>
    <w:rsid w:val="17A77181"/>
    <w:rsid w:val="17BD6E10"/>
    <w:rsid w:val="17C0574B"/>
    <w:rsid w:val="17C2589B"/>
    <w:rsid w:val="17D15BAA"/>
    <w:rsid w:val="17E27FC0"/>
    <w:rsid w:val="17EF3F46"/>
    <w:rsid w:val="180D3552"/>
    <w:rsid w:val="181E225B"/>
    <w:rsid w:val="18381785"/>
    <w:rsid w:val="185760AF"/>
    <w:rsid w:val="1864257A"/>
    <w:rsid w:val="18656CA5"/>
    <w:rsid w:val="186C7681"/>
    <w:rsid w:val="1872341E"/>
    <w:rsid w:val="1872592A"/>
    <w:rsid w:val="18765AA3"/>
    <w:rsid w:val="18952734"/>
    <w:rsid w:val="189746FE"/>
    <w:rsid w:val="18B90C5D"/>
    <w:rsid w:val="18C1750C"/>
    <w:rsid w:val="18C96881"/>
    <w:rsid w:val="18DC6117"/>
    <w:rsid w:val="18F00E71"/>
    <w:rsid w:val="18F02060"/>
    <w:rsid w:val="194C6ABA"/>
    <w:rsid w:val="195053F2"/>
    <w:rsid w:val="195645B9"/>
    <w:rsid w:val="19B1359D"/>
    <w:rsid w:val="19C01A32"/>
    <w:rsid w:val="19CB76F3"/>
    <w:rsid w:val="19D41982"/>
    <w:rsid w:val="19D92AF4"/>
    <w:rsid w:val="1A1C7685"/>
    <w:rsid w:val="1A1D0C33"/>
    <w:rsid w:val="1A1D6E85"/>
    <w:rsid w:val="1A3441CE"/>
    <w:rsid w:val="1A53179E"/>
    <w:rsid w:val="1A540D8A"/>
    <w:rsid w:val="1A6C1BBA"/>
    <w:rsid w:val="1A7C004F"/>
    <w:rsid w:val="1A846F04"/>
    <w:rsid w:val="1AA154CF"/>
    <w:rsid w:val="1AA80E44"/>
    <w:rsid w:val="1AAC1FB7"/>
    <w:rsid w:val="1AB34968"/>
    <w:rsid w:val="1AE53D2C"/>
    <w:rsid w:val="1AF12E3A"/>
    <w:rsid w:val="1AF85860"/>
    <w:rsid w:val="1B173125"/>
    <w:rsid w:val="1B1A22C4"/>
    <w:rsid w:val="1B2D30F7"/>
    <w:rsid w:val="1B636B19"/>
    <w:rsid w:val="1B6A3971"/>
    <w:rsid w:val="1B901690"/>
    <w:rsid w:val="1B9969DF"/>
    <w:rsid w:val="1BB1060F"/>
    <w:rsid w:val="1BB2184F"/>
    <w:rsid w:val="1BBD21F6"/>
    <w:rsid w:val="1BCB0929"/>
    <w:rsid w:val="1BCF0653"/>
    <w:rsid w:val="1BD57F4C"/>
    <w:rsid w:val="1BD70107"/>
    <w:rsid w:val="1BDD2D6F"/>
    <w:rsid w:val="1BE7774A"/>
    <w:rsid w:val="1BF76A06"/>
    <w:rsid w:val="1BFD5624"/>
    <w:rsid w:val="1C0A3439"/>
    <w:rsid w:val="1C117496"/>
    <w:rsid w:val="1C5823F6"/>
    <w:rsid w:val="1C7A6810"/>
    <w:rsid w:val="1C874A89"/>
    <w:rsid w:val="1C926528"/>
    <w:rsid w:val="1CA37410"/>
    <w:rsid w:val="1CA90EA4"/>
    <w:rsid w:val="1CB564E4"/>
    <w:rsid w:val="1CD665A0"/>
    <w:rsid w:val="1CE819CC"/>
    <w:rsid w:val="1CEB14BC"/>
    <w:rsid w:val="1CF0262F"/>
    <w:rsid w:val="1D0165EA"/>
    <w:rsid w:val="1D230C56"/>
    <w:rsid w:val="1D2F7F3B"/>
    <w:rsid w:val="1D5022F0"/>
    <w:rsid w:val="1D762576"/>
    <w:rsid w:val="1D824BAB"/>
    <w:rsid w:val="1D9E652E"/>
    <w:rsid w:val="1DC943F8"/>
    <w:rsid w:val="1DDE2DCF"/>
    <w:rsid w:val="1DE303E5"/>
    <w:rsid w:val="1DEA687D"/>
    <w:rsid w:val="1DF54BEE"/>
    <w:rsid w:val="1DFC5003"/>
    <w:rsid w:val="1E14059F"/>
    <w:rsid w:val="1E1741EE"/>
    <w:rsid w:val="1E1B11FB"/>
    <w:rsid w:val="1E1F070E"/>
    <w:rsid w:val="1E255019"/>
    <w:rsid w:val="1E256308"/>
    <w:rsid w:val="1E2A1B70"/>
    <w:rsid w:val="1E324D9F"/>
    <w:rsid w:val="1E42510C"/>
    <w:rsid w:val="1E4569AA"/>
    <w:rsid w:val="1E4E3AB1"/>
    <w:rsid w:val="1E4F7829"/>
    <w:rsid w:val="1E675D84"/>
    <w:rsid w:val="1E6E5ECA"/>
    <w:rsid w:val="1E701E44"/>
    <w:rsid w:val="1E8C282B"/>
    <w:rsid w:val="1E991EAB"/>
    <w:rsid w:val="1EA240CA"/>
    <w:rsid w:val="1EA41923"/>
    <w:rsid w:val="1EA51975"/>
    <w:rsid w:val="1EAE2EEF"/>
    <w:rsid w:val="1EB458DE"/>
    <w:rsid w:val="1EB63404"/>
    <w:rsid w:val="1EB94CF9"/>
    <w:rsid w:val="1EC024D4"/>
    <w:rsid w:val="1ED76371"/>
    <w:rsid w:val="1EF9593F"/>
    <w:rsid w:val="1EF961E0"/>
    <w:rsid w:val="1F01504A"/>
    <w:rsid w:val="1F03372D"/>
    <w:rsid w:val="1F130856"/>
    <w:rsid w:val="1F1C0989"/>
    <w:rsid w:val="1F1C595D"/>
    <w:rsid w:val="1F1F3C3A"/>
    <w:rsid w:val="1F2B5BA0"/>
    <w:rsid w:val="1F2E38E2"/>
    <w:rsid w:val="1F3F33F9"/>
    <w:rsid w:val="1F446C62"/>
    <w:rsid w:val="1F4713AC"/>
    <w:rsid w:val="1F4C0C9D"/>
    <w:rsid w:val="1F581DD5"/>
    <w:rsid w:val="1F5B0159"/>
    <w:rsid w:val="1F6F96E7"/>
    <w:rsid w:val="1F8D2637"/>
    <w:rsid w:val="1F9C084C"/>
    <w:rsid w:val="1FA31BDA"/>
    <w:rsid w:val="1FA53BA4"/>
    <w:rsid w:val="1FB2006F"/>
    <w:rsid w:val="1FB3447B"/>
    <w:rsid w:val="1FC41B50"/>
    <w:rsid w:val="1FC42F0B"/>
    <w:rsid w:val="200603BB"/>
    <w:rsid w:val="200D34F7"/>
    <w:rsid w:val="20405F66"/>
    <w:rsid w:val="208C6B12"/>
    <w:rsid w:val="208F215E"/>
    <w:rsid w:val="20BD68C3"/>
    <w:rsid w:val="20DC5EB2"/>
    <w:rsid w:val="20E24984"/>
    <w:rsid w:val="20EC5803"/>
    <w:rsid w:val="20F54BA8"/>
    <w:rsid w:val="20FB77F4"/>
    <w:rsid w:val="210112AE"/>
    <w:rsid w:val="210E39CB"/>
    <w:rsid w:val="2116462E"/>
    <w:rsid w:val="21182154"/>
    <w:rsid w:val="212E38CB"/>
    <w:rsid w:val="21352D83"/>
    <w:rsid w:val="213B4094"/>
    <w:rsid w:val="213C56EB"/>
    <w:rsid w:val="21412A19"/>
    <w:rsid w:val="21556F04"/>
    <w:rsid w:val="215A7314"/>
    <w:rsid w:val="216337A2"/>
    <w:rsid w:val="2178641B"/>
    <w:rsid w:val="218B501C"/>
    <w:rsid w:val="21A41C3A"/>
    <w:rsid w:val="21B0064E"/>
    <w:rsid w:val="21B7196D"/>
    <w:rsid w:val="21B9337A"/>
    <w:rsid w:val="21BA4B22"/>
    <w:rsid w:val="21DF0EC4"/>
    <w:rsid w:val="21E8624E"/>
    <w:rsid w:val="21EB1616"/>
    <w:rsid w:val="21F7445F"/>
    <w:rsid w:val="21FC3824"/>
    <w:rsid w:val="220A23E4"/>
    <w:rsid w:val="220E23F4"/>
    <w:rsid w:val="22194E4C"/>
    <w:rsid w:val="22340084"/>
    <w:rsid w:val="22497DF2"/>
    <w:rsid w:val="22543B69"/>
    <w:rsid w:val="225525C5"/>
    <w:rsid w:val="22603DB2"/>
    <w:rsid w:val="2268348C"/>
    <w:rsid w:val="22910410"/>
    <w:rsid w:val="229972C4"/>
    <w:rsid w:val="22A029D5"/>
    <w:rsid w:val="22B15AA6"/>
    <w:rsid w:val="22B2217C"/>
    <w:rsid w:val="22C205C9"/>
    <w:rsid w:val="22D41A47"/>
    <w:rsid w:val="22E11408"/>
    <w:rsid w:val="22E20271"/>
    <w:rsid w:val="22F5559F"/>
    <w:rsid w:val="22F56BF1"/>
    <w:rsid w:val="22FF7A6F"/>
    <w:rsid w:val="230D2A04"/>
    <w:rsid w:val="231525F7"/>
    <w:rsid w:val="23272B22"/>
    <w:rsid w:val="23344974"/>
    <w:rsid w:val="23384D2F"/>
    <w:rsid w:val="233F1C1A"/>
    <w:rsid w:val="234611FA"/>
    <w:rsid w:val="2351194D"/>
    <w:rsid w:val="23694EE9"/>
    <w:rsid w:val="23700025"/>
    <w:rsid w:val="237670CF"/>
    <w:rsid w:val="23B048C6"/>
    <w:rsid w:val="23C6058D"/>
    <w:rsid w:val="23C81A7D"/>
    <w:rsid w:val="23C83DDE"/>
    <w:rsid w:val="23DA456B"/>
    <w:rsid w:val="23DC1406"/>
    <w:rsid w:val="23DE58D7"/>
    <w:rsid w:val="23E91323"/>
    <w:rsid w:val="242F6132"/>
    <w:rsid w:val="243242C1"/>
    <w:rsid w:val="2435126F"/>
    <w:rsid w:val="243B4AD7"/>
    <w:rsid w:val="244311C3"/>
    <w:rsid w:val="244A22E8"/>
    <w:rsid w:val="24661428"/>
    <w:rsid w:val="246D0A09"/>
    <w:rsid w:val="247E2C16"/>
    <w:rsid w:val="24951006"/>
    <w:rsid w:val="24A46A52"/>
    <w:rsid w:val="24B108F5"/>
    <w:rsid w:val="24B83A20"/>
    <w:rsid w:val="24D1781A"/>
    <w:rsid w:val="24DB0623"/>
    <w:rsid w:val="24DB4956"/>
    <w:rsid w:val="24EF3B86"/>
    <w:rsid w:val="24F627AC"/>
    <w:rsid w:val="24F938B3"/>
    <w:rsid w:val="250A44A9"/>
    <w:rsid w:val="250A5D00"/>
    <w:rsid w:val="25186BC6"/>
    <w:rsid w:val="252235A1"/>
    <w:rsid w:val="252512E3"/>
    <w:rsid w:val="25313347"/>
    <w:rsid w:val="25333A00"/>
    <w:rsid w:val="253908EB"/>
    <w:rsid w:val="256B13EC"/>
    <w:rsid w:val="25787665"/>
    <w:rsid w:val="257D28F7"/>
    <w:rsid w:val="25A807D4"/>
    <w:rsid w:val="25AB62C6"/>
    <w:rsid w:val="25AC5561"/>
    <w:rsid w:val="25BC57A4"/>
    <w:rsid w:val="25D86356"/>
    <w:rsid w:val="260D4251"/>
    <w:rsid w:val="26103D41"/>
    <w:rsid w:val="26282E39"/>
    <w:rsid w:val="26323D74"/>
    <w:rsid w:val="26347A30"/>
    <w:rsid w:val="26413EFB"/>
    <w:rsid w:val="264C3CB0"/>
    <w:rsid w:val="26663961"/>
    <w:rsid w:val="266C2E7A"/>
    <w:rsid w:val="26865DB2"/>
    <w:rsid w:val="269F0C21"/>
    <w:rsid w:val="26A9039E"/>
    <w:rsid w:val="26B43750"/>
    <w:rsid w:val="26B97F35"/>
    <w:rsid w:val="26BC17D3"/>
    <w:rsid w:val="26BD2889"/>
    <w:rsid w:val="26BF5E7A"/>
    <w:rsid w:val="26CF59AB"/>
    <w:rsid w:val="26D7485F"/>
    <w:rsid w:val="26D92385"/>
    <w:rsid w:val="26DA4F52"/>
    <w:rsid w:val="26E825C8"/>
    <w:rsid w:val="26EA6887"/>
    <w:rsid w:val="27014B68"/>
    <w:rsid w:val="27040EBB"/>
    <w:rsid w:val="27063416"/>
    <w:rsid w:val="27427F2B"/>
    <w:rsid w:val="27441EF5"/>
    <w:rsid w:val="27473793"/>
    <w:rsid w:val="2749750B"/>
    <w:rsid w:val="275F7F2B"/>
    <w:rsid w:val="27612F92"/>
    <w:rsid w:val="27623EF4"/>
    <w:rsid w:val="2778394C"/>
    <w:rsid w:val="278B7B24"/>
    <w:rsid w:val="278F0C96"/>
    <w:rsid w:val="279978A1"/>
    <w:rsid w:val="27AF30E6"/>
    <w:rsid w:val="27AF7CB7"/>
    <w:rsid w:val="27B32BD6"/>
    <w:rsid w:val="27C6290A"/>
    <w:rsid w:val="27E40FE2"/>
    <w:rsid w:val="27E62FAC"/>
    <w:rsid w:val="27EB4EDE"/>
    <w:rsid w:val="27FF88A4"/>
    <w:rsid w:val="28063096"/>
    <w:rsid w:val="280B656E"/>
    <w:rsid w:val="280E605F"/>
    <w:rsid w:val="28441A80"/>
    <w:rsid w:val="28575C58"/>
    <w:rsid w:val="286B525F"/>
    <w:rsid w:val="28700AC7"/>
    <w:rsid w:val="28797F56"/>
    <w:rsid w:val="28957AE6"/>
    <w:rsid w:val="28A421C7"/>
    <w:rsid w:val="28CD5F1A"/>
    <w:rsid w:val="28D9041B"/>
    <w:rsid w:val="28F32B26"/>
    <w:rsid w:val="2907571B"/>
    <w:rsid w:val="29192F0D"/>
    <w:rsid w:val="291C73AB"/>
    <w:rsid w:val="292D0766"/>
    <w:rsid w:val="29333205"/>
    <w:rsid w:val="29480D4F"/>
    <w:rsid w:val="29606D8E"/>
    <w:rsid w:val="296B6BBA"/>
    <w:rsid w:val="296F5223"/>
    <w:rsid w:val="297414A2"/>
    <w:rsid w:val="298313AC"/>
    <w:rsid w:val="298A5BB9"/>
    <w:rsid w:val="299A5BB0"/>
    <w:rsid w:val="299D3B3E"/>
    <w:rsid w:val="29A41709"/>
    <w:rsid w:val="29B449E4"/>
    <w:rsid w:val="29C0782D"/>
    <w:rsid w:val="29D07A70"/>
    <w:rsid w:val="29E96D83"/>
    <w:rsid w:val="29EA2979"/>
    <w:rsid w:val="29ED063B"/>
    <w:rsid w:val="29F64FFC"/>
    <w:rsid w:val="2A09659A"/>
    <w:rsid w:val="2A493A70"/>
    <w:rsid w:val="2A4C2E6E"/>
    <w:rsid w:val="2A5266D7"/>
    <w:rsid w:val="2A585CB7"/>
    <w:rsid w:val="2A587A65"/>
    <w:rsid w:val="2A622692"/>
    <w:rsid w:val="2A8A0897"/>
    <w:rsid w:val="2A945294"/>
    <w:rsid w:val="2A9C2048"/>
    <w:rsid w:val="2AAD433F"/>
    <w:rsid w:val="2AC633CF"/>
    <w:rsid w:val="2ACD0453"/>
    <w:rsid w:val="2ACE33AF"/>
    <w:rsid w:val="2AD25A69"/>
    <w:rsid w:val="2AD417E1"/>
    <w:rsid w:val="2AE440CE"/>
    <w:rsid w:val="2AEE2269"/>
    <w:rsid w:val="2AFB0C13"/>
    <w:rsid w:val="2AFC2AE6"/>
    <w:rsid w:val="2B180495"/>
    <w:rsid w:val="2B47061C"/>
    <w:rsid w:val="2B4F0E68"/>
    <w:rsid w:val="2B5D1422"/>
    <w:rsid w:val="2B6D5768"/>
    <w:rsid w:val="2B726905"/>
    <w:rsid w:val="2B7448EA"/>
    <w:rsid w:val="2B89645B"/>
    <w:rsid w:val="2B9B40AD"/>
    <w:rsid w:val="2BA411B4"/>
    <w:rsid w:val="2BBD5328"/>
    <w:rsid w:val="2BD92382"/>
    <w:rsid w:val="2BEF472D"/>
    <w:rsid w:val="2BF10171"/>
    <w:rsid w:val="2BFD4416"/>
    <w:rsid w:val="2C106849"/>
    <w:rsid w:val="2C3F477A"/>
    <w:rsid w:val="2C583C14"/>
    <w:rsid w:val="2C6B208A"/>
    <w:rsid w:val="2C7843EE"/>
    <w:rsid w:val="2C9805ED"/>
    <w:rsid w:val="2CA927FA"/>
    <w:rsid w:val="2CB76337"/>
    <w:rsid w:val="2CBA0563"/>
    <w:rsid w:val="2CC3566A"/>
    <w:rsid w:val="2CCD473A"/>
    <w:rsid w:val="2CCE64A5"/>
    <w:rsid w:val="2CE646FA"/>
    <w:rsid w:val="2CF3650E"/>
    <w:rsid w:val="2D0B1643"/>
    <w:rsid w:val="2D1270F4"/>
    <w:rsid w:val="2D256324"/>
    <w:rsid w:val="2D2D51D9"/>
    <w:rsid w:val="2D340315"/>
    <w:rsid w:val="2D6B7AAF"/>
    <w:rsid w:val="2D6B7F7A"/>
    <w:rsid w:val="2D6F0E5E"/>
    <w:rsid w:val="2DAC07F4"/>
    <w:rsid w:val="2DAC4350"/>
    <w:rsid w:val="2DBF42A0"/>
    <w:rsid w:val="2DC01BA9"/>
    <w:rsid w:val="2DC55411"/>
    <w:rsid w:val="2DC84F02"/>
    <w:rsid w:val="2DEC299E"/>
    <w:rsid w:val="2DFD4430"/>
    <w:rsid w:val="2DFEB182"/>
    <w:rsid w:val="2E050B13"/>
    <w:rsid w:val="2E70537D"/>
    <w:rsid w:val="2E717347"/>
    <w:rsid w:val="2E8C44C1"/>
    <w:rsid w:val="2E913546"/>
    <w:rsid w:val="2EBA1EBF"/>
    <w:rsid w:val="2EBB54F4"/>
    <w:rsid w:val="2EBF00B3"/>
    <w:rsid w:val="2EEC3EE5"/>
    <w:rsid w:val="2EED10C4"/>
    <w:rsid w:val="2EF05B4C"/>
    <w:rsid w:val="2EFA10EB"/>
    <w:rsid w:val="2F034443"/>
    <w:rsid w:val="2F1466B3"/>
    <w:rsid w:val="2F206D0C"/>
    <w:rsid w:val="2F2B74F6"/>
    <w:rsid w:val="2F330266"/>
    <w:rsid w:val="2F5F1E57"/>
    <w:rsid w:val="2F601896"/>
    <w:rsid w:val="2F7013AD"/>
    <w:rsid w:val="2F8C48F9"/>
    <w:rsid w:val="2F8C50DB"/>
    <w:rsid w:val="2F8F57F1"/>
    <w:rsid w:val="2F9A7B21"/>
    <w:rsid w:val="2FA675E1"/>
    <w:rsid w:val="2FB41BE1"/>
    <w:rsid w:val="2FCA31B3"/>
    <w:rsid w:val="2FCC2D28"/>
    <w:rsid w:val="2FDB53C0"/>
    <w:rsid w:val="2FE53B49"/>
    <w:rsid w:val="2FFB31D2"/>
    <w:rsid w:val="2FFD700E"/>
    <w:rsid w:val="30201025"/>
    <w:rsid w:val="302E54F0"/>
    <w:rsid w:val="303A6B2E"/>
    <w:rsid w:val="303B19BB"/>
    <w:rsid w:val="303F594F"/>
    <w:rsid w:val="30405F11"/>
    <w:rsid w:val="304A13BD"/>
    <w:rsid w:val="30550CCF"/>
    <w:rsid w:val="30724A12"/>
    <w:rsid w:val="308710A4"/>
    <w:rsid w:val="308A745A"/>
    <w:rsid w:val="30907F59"/>
    <w:rsid w:val="309537C1"/>
    <w:rsid w:val="30D140CD"/>
    <w:rsid w:val="30D32CE3"/>
    <w:rsid w:val="30FD4EC2"/>
    <w:rsid w:val="310271F1"/>
    <w:rsid w:val="31490108"/>
    <w:rsid w:val="316757D3"/>
    <w:rsid w:val="317433D6"/>
    <w:rsid w:val="317A4765"/>
    <w:rsid w:val="317E24A7"/>
    <w:rsid w:val="31903F88"/>
    <w:rsid w:val="31A36008"/>
    <w:rsid w:val="31AB0719"/>
    <w:rsid w:val="31C1450F"/>
    <w:rsid w:val="31CF41E7"/>
    <w:rsid w:val="31D125D7"/>
    <w:rsid w:val="31E83DC4"/>
    <w:rsid w:val="31FE09CE"/>
    <w:rsid w:val="32096215"/>
    <w:rsid w:val="320C360F"/>
    <w:rsid w:val="322841C1"/>
    <w:rsid w:val="32285F6F"/>
    <w:rsid w:val="32382656"/>
    <w:rsid w:val="323E5792"/>
    <w:rsid w:val="32546676"/>
    <w:rsid w:val="32801F6E"/>
    <w:rsid w:val="329675A4"/>
    <w:rsid w:val="32A579E2"/>
    <w:rsid w:val="32BB6DE3"/>
    <w:rsid w:val="32BF68D3"/>
    <w:rsid w:val="32C32F2F"/>
    <w:rsid w:val="32CB0F4C"/>
    <w:rsid w:val="32E26A66"/>
    <w:rsid w:val="32F80037"/>
    <w:rsid w:val="3302652F"/>
    <w:rsid w:val="3304078A"/>
    <w:rsid w:val="330C0F9B"/>
    <w:rsid w:val="330D74B8"/>
    <w:rsid w:val="33136C1F"/>
    <w:rsid w:val="33270C56"/>
    <w:rsid w:val="333E48FB"/>
    <w:rsid w:val="334A658F"/>
    <w:rsid w:val="33544D3A"/>
    <w:rsid w:val="337F1FD8"/>
    <w:rsid w:val="337F6063"/>
    <w:rsid w:val="338E62A6"/>
    <w:rsid w:val="33AB3EB5"/>
    <w:rsid w:val="33C06DA7"/>
    <w:rsid w:val="33DB4845"/>
    <w:rsid w:val="34165E74"/>
    <w:rsid w:val="34190265"/>
    <w:rsid w:val="3434202F"/>
    <w:rsid w:val="343432D2"/>
    <w:rsid w:val="345662BE"/>
    <w:rsid w:val="346164FA"/>
    <w:rsid w:val="346239BA"/>
    <w:rsid w:val="34647236"/>
    <w:rsid w:val="346B00EF"/>
    <w:rsid w:val="346E05B1"/>
    <w:rsid w:val="34746936"/>
    <w:rsid w:val="34831B82"/>
    <w:rsid w:val="3492398C"/>
    <w:rsid w:val="34AB6DF8"/>
    <w:rsid w:val="34AE2A9C"/>
    <w:rsid w:val="34B61F58"/>
    <w:rsid w:val="34C06933"/>
    <w:rsid w:val="34C75F13"/>
    <w:rsid w:val="34CC3529"/>
    <w:rsid w:val="34D0301A"/>
    <w:rsid w:val="34DA207D"/>
    <w:rsid w:val="34EC7728"/>
    <w:rsid w:val="34EE524E"/>
    <w:rsid w:val="35004F81"/>
    <w:rsid w:val="350F20BF"/>
    <w:rsid w:val="35101668"/>
    <w:rsid w:val="352E1AEE"/>
    <w:rsid w:val="35335357"/>
    <w:rsid w:val="353A66E5"/>
    <w:rsid w:val="353F1F4D"/>
    <w:rsid w:val="35531555"/>
    <w:rsid w:val="35806C2D"/>
    <w:rsid w:val="35833E6A"/>
    <w:rsid w:val="358B5193"/>
    <w:rsid w:val="35923D87"/>
    <w:rsid w:val="35977693"/>
    <w:rsid w:val="35A41DB0"/>
    <w:rsid w:val="35DF27B4"/>
    <w:rsid w:val="35E07F2B"/>
    <w:rsid w:val="36566D0A"/>
    <w:rsid w:val="365B6913"/>
    <w:rsid w:val="36877708"/>
    <w:rsid w:val="36914A2B"/>
    <w:rsid w:val="36924391"/>
    <w:rsid w:val="36941E25"/>
    <w:rsid w:val="36B342C2"/>
    <w:rsid w:val="36B700E3"/>
    <w:rsid w:val="36C73FA8"/>
    <w:rsid w:val="36D52B48"/>
    <w:rsid w:val="36E36908"/>
    <w:rsid w:val="36F13F20"/>
    <w:rsid w:val="36FF45F9"/>
    <w:rsid w:val="37074CED"/>
    <w:rsid w:val="37147DA6"/>
    <w:rsid w:val="37152F66"/>
    <w:rsid w:val="37182A56"/>
    <w:rsid w:val="37194BF3"/>
    <w:rsid w:val="371A057C"/>
    <w:rsid w:val="371E7AD1"/>
    <w:rsid w:val="372431A9"/>
    <w:rsid w:val="37343B7A"/>
    <w:rsid w:val="373830F8"/>
    <w:rsid w:val="37403D5B"/>
    <w:rsid w:val="374D5D7D"/>
    <w:rsid w:val="375D2ED3"/>
    <w:rsid w:val="375E25FC"/>
    <w:rsid w:val="37694DCD"/>
    <w:rsid w:val="3776777C"/>
    <w:rsid w:val="377B0C0A"/>
    <w:rsid w:val="377C1237"/>
    <w:rsid w:val="377C4D93"/>
    <w:rsid w:val="37936580"/>
    <w:rsid w:val="3799259E"/>
    <w:rsid w:val="37C03756"/>
    <w:rsid w:val="37C4673A"/>
    <w:rsid w:val="37C87FD8"/>
    <w:rsid w:val="37DF3574"/>
    <w:rsid w:val="37ED7A3F"/>
    <w:rsid w:val="37F4701F"/>
    <w:rsid w:val="3802042E"/>
    <w:rsid w:val="3802503A"/>
    <w:rsid w:val="38084878"/>
    <w:rsid w:val="38156F95"/>
    <w:rsid w:val="38196A86"/>
    <w:rsid w:val="381E22EE"/>
    <w:rsid w:val="381E5787"/>
    <w:rsid w:val="382036A8"/>
    <w:rsid w:val="382947EF"/>
    <w:rsid w:val="383E64EC"/>
    <w:rsid w:val="38A071A7"/>
    <w:rsid w:val="38A87E0A"/>
    <w:rsid w:val="38AF4DDA"/>
    <w:rsid w:val="38B93DC5"/>
    <w:rsid w:val="38C420A7"/>
    <w:rsid w:val="38D429AD"/>
    <w:rsid w:val="38D806EF"/>
    <w:rsid w:val="390414E4"/>
    <w:rsid w:val="3927715C"/>
    <w:rsid w:val="39534C59"/>
    <w:rsid w:val="396555DB"/>
    <w:rsid w:val="397C76EC"/>
    <w:rsid w:val="399B34CA"/>
    <w:rsid w:val="399D7242"/>
    <w:rsid w:val="39BA4298"/>
    <w:rsid w:val="39C11183"/>
    <w:rsid w:val="39CB4303"/>
    <w:rsid w:val="39DC7D6B"/>
    <w:rsid w:val="39E74C80"/>
    <w:rsid w:val="39FD0783"/>
    <w:rsid w:val="39FEDC7A"/>
    <w:rsid w:val="3A040A3F"/>
    <w:rsid w:val="3A0E0A45"/>
    <w:rsid w:val="3A1E65D5"/>
    <w:rsid w:val="3A2509BF"/>
    <w:rsid w:val="3A4B3142"/>
    <w:rsid w:val="3A5913BB"/>
    <w:rsid w:val="3A695377"/>
    <w:rsid w:val="3A824DB6"/>
    <w:rsid w:val="3A8C79E3"/>
    <w:rsid w:val="3A920D71"/>
    <w:rsid w:val="3A971EE4"/>
    <w:rsid w:val="3AAB2CE8"/>
    <w:rsid w:val="3AB225E8"/>
    <w:rsid w:val="3AD76784"/>
    <w:rsid w:val="3AE113B1"/>
    <w:rsid w:val="3AF3D6C8"/>
    <w:rsid w:val="3B07350D"/>
    <w:rsid w:val="3B117E29"/>
    <w:rsid w:val="3B3218A7"/>
    <w:rsid w:val="3B3360B0"/>
    <w:rsid w:val="3B385475"/>
    <w:rsid w:val="3B4A5D81"/>
    <w:rsid w:val="3B4B7240"/>
    <w:rsid w:val="3B551DDF"/>
    <w:rsid w:val="3B5F50F7"/>
    <w:rsid w:val="3B625D04"/>
    <w:rsid w:val="3B750477"/>
    <w:rsid w:val="3B7A783B"/>
    <w:rsid w:val="3B880EFA"/>
    <w:rsid w:val="3B8C2378"/>
    <w:rsid w:val="3B9939EB"/>
    <w:rsid w:val="3BBA73C4"/>
    <w:rsid w:val="3BC1190E"/>
    <w:rsid w:val="3BD41192"/>
    <w:rsid w:val="3BE24A34"/>
    <w:rsid w:val="3BEE03D9"/>
    <w:rsid w:val="3C027068"/>
    <w:rsid w:val="3C0D06AF"/>
    <w:rsid w:val="3C267826"/>
    <w:rsid w:val="3C4C0513"/>
    <w:rsid w:val="3C5E0F0B"/>
    <w:rsid w:val="3C6F3B51"/>
    <w:rsid w:val="3C7050E9"/>
    <w:rsid w:val="3C7F0E81"/>
    <w:rsid w:val="3C8A61A4"/>
    <w:rsid w:val="3C8D359E"/>
    <w:rsid w:val="3C917532"/>
    <w:rsid w:val="3C924938"/>
    <w:rsid w:val="3C97441D"/>
    <w:rsid w:val="3CB11983"/>
    <w:rsid w:val="3CD1792F"/>
    <w:rsid w:val="3CD33139"/>
    <w:rsid w:val="3CD45316"/>
    <w:rsid w:val="3CE82ECA"/>
    <w:rsid w:val="3CEB26B1"/>
    <w:rsid w:val="3D1E069A"/>
    <w:rsid w:val="3D221248"/>
    <w:rsid w:val="3D252DB9"/>
    <w:rsid w:val="3D383C12"/>
    <w:rsid w:val="3D385C00"/>
    <w:rsid w:val="3D430101"/>
    <w:rsid w:val="3D462FE4"/>
    <w:rsid w:val="3D4C5207"/>
    <w:rsid w:val="3D6607D8"/>
    <w:rsid w:val="3D672041"/>
    <w:rsid w:val="3D6B3C30"/>
    <w:rsid w:val="3D826E7B"/>
    <w:rsid w:val="3D8E3468"/>
    <w:rsid w:val="3D9B65E3"/>
    <w:rsid w:val="3DAF340E"/>
    <w:rsid w:val="3DC15BF5"/>
    <w:rsid w:val="3DC76F84"/>
    <w:rsid w:val="3DCB9E62"/>
    <w:rsid w:val="3DDF660D"/>
    <w:rsid w:val="3DF77869"/>
    <w:rsid w:val="3DFA5E88"/>
    <w:rsid w:val="3E083824"/>
    <w:rsid w:val="3E09134A"/>
    <w:rsid w:val="3E0E6961"/>
    <w:rsid w:val="3E18158D"/>
    <w:rsid w:val="3E1A3557"/>
    <w:rsid w:val="3E3C527C"/>
    <w:rsid w:val="3E3F6C4A"/>
    <w:rsid w:val="3E5F442B"/>
    <w:rsid w:val="3E75078E"/>
    <w:rsid w:val="3E757F1A"/>
    <w:rsid w:val="3E7C38CA"/>
    <w:rsid w:val="3E7F435A"/>
    <w:rsid w:val="3E94330A"/>
    <w:rsid w:val="3EA00A69"/>
    <w:rsid w:val="3EA2211C"/>
    <w:rsid w:val="3EB32B10"/>
    <w:rsid w:val="3EBC016B"/>
    <w:rsid w:val="3ECB4553"/>
    <w:rsid w:val="3ED23E32"/>
    <w:rsid w:val="3ED43706"/>
    <w:rsid w:val="3F220916"/>
    <w:rsid w:val="3F3441A5"/>
    <w:rsid w:val="3F3E3D7D"/>
    <w:rsid w:val="3F4D0797"/>
    <w:rsid w:val="3F512FA9"/>
    <w:rsid w:val="3F5E1222"/>
    <w:rsid w:val="3F67457A"/>
    <w:rsid w:val="3F9B4224"/>
    <w:rsid w:val="3FB6105E"/>
    <w:rsid w:val="3FE91433"/>
    <w:rsid w:val="3FF377BB"/>
    <w:rsid w:val="401A19BA"/>
    <w:rsid w:val="40293E44"/>
    <w:rsid w:val="403C77B5"/>
    <w:rsid w:val="403D352D"/>
    <w:rsid w:val="4041301D"/>
    <w:rsid w:val="406C0A8D"/>
    <w:rsid w:val="407707ED"/>
    <w:rsid w:val="407C4056"/>
    <w:rsid w:val="407F3B46"/>
    <w:rsid w:val="40832FAA"/>
    <w:rsid w:val="40A36673"/>
    <w:rsid w:val="40A47108"/>
    <w:rsid w:val="40AC7CAD"/>
    <w:rsid w:val="40B557B9"/>
    <w:rsid w:val="40C61775"/>
    <w:rsid w:val="40CA3013"/>
    <w:rsid w:val="40D13A18"/>
    <w:rsid w:val="40DA0D7C"/>
    <w:rsid w:val="40DB643C"/>
    <w:rsid w:val="40F0234E"/>
    <w:rsid w:val="40F938F8"/>
    <w:rsid w:val="4112766A"/>
    <w:rsid w:val="4134048C"/>
    <w:rsid w:val="41391F47"/>
    <w:rsid w:val="413A5512"/>
    <w:rsid w:val="41436921"/>
    <w:rsid w:val="414508EB"/>
    <w:rsid w:val="41496826"/>
    <w:rsid w:val="414A5675"/>
    <w:rsid w:val="415B010F"/>
    <w:rsid w:val="415B1EBD"/>
    <w:rsid w:val="41605725"/>
    <w:rsid w:val="41717DF8"/>
    <w:rsid w:val="417B60BB"/>
    <w:rsid w:val="419543BF"/>
    <w:rsid w:val="41AD3B1A"/>
    <w:rsid w:val="41B85FCB"/>
    <w:rsid w:val="41C07F72"/>
    <w:rsid w:val="41CC4B69"/>
    <w:rsid w:val="41CD6CF7"/>
    <w:rsid w:val="41CF1A3B"/>
    <w:rsid w:val="41DC3BEC"/>
    <w:rsid w:val="41E44F7E"/>
    <w:rsid w:val="420D08E2"/>
    <w:rsid w:val="4215030D"/>
    <w:rsid w:val="421877CE"/>
    <w:rsid w:val="42254279"/>
    <w:rsid w:val="423544BC"/>
    <w:rsid w:val="42361EDD"/>
    <w:rsid w:val="423D7815"/>
    <w:rsid w:val="424878D9"/>
    <w:rsid w:val="424B3702"/>
    <w:rsid w:val="424F3F3D"/>
    <w:rsid w:val="4252760F"/>
    <w:rsid w:val="4269685C"/>
    <w:rsid w:val="426E5C20"/>
    <w:rsid w:val="42785F59"/>
    <w:rsid w:val="427C033D"/>
    <w:rsid w:val="427C4ACD"/>
    <w:rsid w:val="429338D8"/>
    <w:rsid w:val="429C11E6"/>
    <w:rsid w:val="429D6E7C"/>
    <w:rsid w:val="42CE4911"/>
    <w:rsid w:val="42D00689"/>
    <w:rsid w:val="42DA5063"/>
    <w:rsid w:val="42E06161"/>
    <w:rsid w:val="430640AA"/>
    <w:rsid w:val="430A3B9B"/>
    <w:rsid w:val="430B346F"/>
    <w:rsid w:val="430F2F5F"/>
    <w:rsid w:val="430F5343"/>
    <w:rsid w:val="431762B8"/>
    <w:rsid w:val="434846C3"/>
    <w:rsid w:val="436F1C50"/>
    <w:rsid w:val="438020AF"/>
    <w:rsid w:val="43917B6C"/>
    <w:rsid w:val="43A538C3"/>
    <w:rsid w:val="43BE6733"/>
    <w:rsid w:val="43C04259"/>
    <w:rsid w:val="43D84F41"/>
    <w:rsid w:val="43E048FB"/>
    <w:rsid w:val="44073946"/>
    <w:rsid w:val="4416656F"/>
    <w:rsid w:val="44271CC5"/>
    <w:rsid w:val="44347CD7"/>
    <w:rsid w:val="4456696C"/>
    <w:rsid w:val="447055D2"/>
    <w:rsid w:val="448B4867"/>
    <w:rsid w:val="44A154AA"/>
    <w:rsid w:val="44A467DB"/>
    <w:rsid w:val="44A92F3F"/>
    <w:rsid w:val="44B87626"/>
    <w:rsid w:val="44CB1108"/>
    <w:rsid w:val="44DD0E3B"/>
    <w:rsid w:val="44E178FE"/>
    <w:rsid w:val="44E4666D"/>
    <w:rsid w:val="44F56185"/>
    <w:rsid w:val="44FE55CD"/>
    <w:rsid w:val="451C2E11"/>
    <w:rsid w:val="451F1453"/>
    <w:rsid w:val="452D1DC2"/>
    <w:rsid w:val="453E7B2C"/>
    <w:rsid w:val="45412BC0"/>
    <w:rsid w:val="454C6304"/>
    <w:rsid w:val="4550160D"/>
    <w:rsid w:val="456070F3"/>
    <w:rsid w:val="45624538"/>
    <w:rsid w:val="456D21BF"/>
    <w:rsid w:val="45857508"/>
    <w:rsid w:val="45881361"/>
    <w:rsid w:val="45AE297F"/>
    <w:rsid w:val="45BC6CA2"/>
    <w:rsid w:val="45C02C36"/>
    <w:rsid w:val="45C2075D"/>
    <w:rsid w:val="45C51FFB"/>
    <w:rsid w:val="45CC5137"/>
    <w:rsid w:val="45D24306"/>
    <w:rsid w:val="45FB3C6E"/>
    <w:rsid w:val="462C207A"/>
    <w:rsid w:val="462F1B6A"/>
    <w:rsid w:val="464E1FF0"/>
    <w:rsid w:val="466C691A"/>
    <w:rsid w:val="467632F5"/>
    <w:rsid w:val="467B090B"/>
    <w:rsid w:val="469A5235"/>
    <w:rsid w:val="46D30747"/>
    <w:rsid w:val="46F648FA"/>
    <w:rsid w:val="46FC37FA"/>
    <w:rsid w:val="470127A4"/>
    <w:rsid w:val="47116B02"/>
    <w:rsid w:val="47182221"/>
    <w:rsid w:val="471974BF"/>
    <w:rsid w:val="47236A32"/>
    <w:rsid w:val="472555F6"/>
    <w:rsid w:val="4726479D"/>
    <w:rsid w:val="475F0064"/>
    <w:rsid w:val="4763634B"/>
    <w:rsid w:val="476A2E5A"/>
    <w:rsid w:val="477E6905"/>
    <w:rsid w:val="47947ED7"/>
    <w:rsid w:val="47B756B0"/>
    <w:rsid w:val="47C702AC"/>
    <w:rsid w:val="47CA2E28"/>
    <w:rsid w:val="47D26C51"/>
    <w:rsid w:val="47E04ECA"/>
    <w:rsid w:val="47E66258"/>
    <w:rsid w:val="47E94328"/>
    <w:rsid w:val="47FE7A46"/>
    <w:rsid w:val="480706A9"/>
    <w:rsid w:val="48141018"/>
    <w:rsid w:val="48144CA9"/>
    <w:rsid w:val="4819662E"/>
    <w:rsid w:val="481A347D"/>
    <w:rsid w:val="481D4BC7"/>
    <w:rsid w:val="4823125B"/>
    <w:rsid w:val="48384D06"/>
    <w:rsid w:val="48474F49"/>
    <w:rsid w:val="48491574"/>
    <w:rsid w:val="48533C2F"/>
    <w:rsid w:val="4860425D"/>
    <w:rsid w:val="486C0E54"/>
    <w:rsid w:val="486C0EA8"/>
    <w:rsid w:val="48965ED0"/>
    <w:rsid w:val="48A44149"/>
    <w:rsid w:val="48A64365"/>
    <w:rsid w:val="48A91760"/>
    <w:rsid w:val="48C06AA9"/>
    <w:rsid w:val="48C40FDC"/>
    <w:rsid w:val="48F826E7"/>
    <w:rsid w:val="490940DC"/>
    <w:rsid w:val="491D3EFC"/>
    <w:rsid w:val="492B6619"/>
    <w:rsid w:val="493F185A"/>
    <w:rsid w:val="49420415"/>
    <w:rsid w:val="49423962"/>
    <w:rsid w:val="49441489"/>
    <w:rsid w:val="494E5BED"/>
    <w:rsid w:val="495913D8"/>
    <w:rsid w:val="495F58CA"/>
    <w:rsid w:val="49654BAA"/>
    <w:rsid w:val="498F2280"/>
    <w:rsid w:val="499C7517"/>
    <w:rsid w:val="49D03A26"/>
    <w:rsid w:val="49F70BF1"/>
    <w:rsid w:val="49F81D23"/>
    <w:rsid w:val="49FF9811"/>
    <w:rsid w:val="4A082FD2"/>
    <w:rsid w:val="4A334488"/>
    <w:rsid w:val="4A4D0230"/>
    <w:rsid w:val="4A875AD1"/>
    <w:rsid w:val="4A953E86"/>
    <w:rsid w:val="4AA8587D"/>
    <w:rsid w:val="4AAF6DD6"/>
    <w:rsid w:val="4AB142B0"/>
    <w:rsid w:val="4ACF1226"/>
    <w:rsid w:val="4B0E1D4E"/>
    <w:rsid w:val="4B3519D1"/>
    <w:rsid w:val="4B3D2633"/>
    <w:rsid w:val="4B444CAC"/>
    <w:rsid w:val="4B4840DB"/>
    <w:rsid w:val="4B4B4D50"/>
    <w:rsid w:val="4B4C679B"/>
    <w:rsid w:val="4B634EFA"/>
    <w:rsid w:val="4B751DCD"/>
    <w:rsid w:val="4B771FE9"/>
    <w:rsid w:val="4B7D0C82"/>
    <w:rsid w:val="4B7F2C4C"/>
    <w:rsid w:val="4B8E10E1"/>
    <w:rsid w:val="4BBD58F5"/>
    <w:rsid w:val="4BBE31C1"/>
    <w:rsid w:val="4BC1FBED"/>
    <w:rsid w:val="4BC845F3"/>
    <w:rsid w:val="4BCC28E9"/>
    <w:rsid w:val="4BEF4EE6"/>
    <w:rsid w:val="4C092CAC"/>
    <w:rsid w:val="4C0C20D5"/>
    <w:rsid w:val="4C2F4672"/>
    <w:rsid w:val="4C334B0F"/>
    <w:rsid w:val="4C3F4944"/>
    <w:rsid w:val="4C6639A2"/>
    <w:rsid w:val="4C83051A"/>
    <w:rsid w:val="4CA30A9C"/>
    <w:rsid w:val="4CC93713"/>
    <w:rsid w:val="4CDA495B"/>
    <w:rsid w:val="4CE00837"/>
    <w:rsid w:val="4CE216E4"/>
    <w:rsid w:val="4CE65AED"/>
    <w:rsid w:val="4CF5766A"/>
    <w:rsid w:val="4D4B3976"/>
    <w:rsid w:val="4D4F1617"/>
    <w:rsid w:val="4D5048A0"/>
    <w:rsid w:val="4D5B2D7A"/>
    <w:rsid w:val="4D5D520F"/>
    <w:rsid w:val="4D720832"/>
    <w:rsid w:val="4D7B6324"/>
    <w:rsid w:val="4D807BBD"/>
    <w:rsid w:val="4D9A1FBF"/>
    <w:rsid w:val="4DA12680"/>
    <w:rsid w:val="4DA42E3E"/>
    <w:rsid w:val="4DA64413"/>
    <w:rsid w:val="4DB9129B"/>
    <w:rsid w:val="4DB9BD01"/>
    <w:rsid w:val="4DCA73D5"/>
    <w:rsid w:val="4DD27D5A"/>
    <w:rsid w:val="4E08517B"/>
    <w:rsid w:val="4E0A7F3B"/>
    <w:rsid w:val="4E0D12D9"/>
    <w:rsid w:val="4E173610"/>
    <w:rsid w:val="4E1A59EE"/>
    <w:rsid w:val="4E235B10"/>
    <w:rsid w:val="4E295882"/>
    <w:rsid w:val="4E3B72FE"/>
    <w:rsid w:val="4E41243B"/>
    <w:rsid w:val="4E4A12EF"/>
    <w:rsid w:val="4E5D0A0C"/>
    <w:rsid w:val="4E61488B"/>
    <w:rsid w:val="4E72776D"/>
    <w:rsid w:val="4E747875"/>
    <w:rsid w:val="4E880069"/>
    <w:rsid w:val="4EB15812"/>
    <w:rsid w:val="4EB96475"/>
    <w:rsid w:val="4EBE7F2F"/>
    <w:rsid w:val="4EC30945"/>
    <w:rsid w:val="4EC44404"/>
    <w:rsid w:val="4EE820C6"/>
    <w:rsid w:val="4EEF00E8"/>
    <w:rsid w:val="4EF6976E"/>
    <w:rsid w:val="4F0440DC"/>
    <w:rsid w:val="4F0973FC"/>
    <w:rsid w:val="4F336227"/>
    <w:rsid w:val="4F3A119F"/>
    <w:rsid w:val="4F455F5A"/>
    <w:rsid w:val="4F560168"/>
    <w:rsid w:val="4F5610BA"/>
    <w:rsid w:val="4F626B0C"/>
    <w:rsid w:val="4F6665FD"/>
    <w:rsid w:val="4F7D17A7"/>
    <w:rsid w:val="4F8540B8"/>
    <w:rsid w:val="4F8B53ED"/>
    <w:rsid w:val="4F8E345D"/>
    <w:rsid w:val="4F950C90"/>
    <w:rsid w:val="4F9C763A"/>
    <w:rsid w:val="4FA73D59"/>
    <w:rsid w:val="4FCD042A"/>
    <w:rsid w:val="4FCF1174"/>
    <w:rsid w:val="4FF361FE"/>
    <w:rsid w:val="4FFFC24E"/>
    <w:rsid w:val="4FFFCE5E"/>
    <w:rsid w:val="50061B91"/>
    <w:rsid w:val="500D3FED"/>
    <w:rsid w:val="501A1195"/>
    <w:rsid w:val="501E6ED7"/>
    <w:rsid w:val="504E24EF"/>
    <w:rsid w:val="505C17AE"/>
    <w:rsid w:val="505E5526"/>
    <w:rsid w:val="506C7D53"/>
    <w:rsid w:val="50746247"/>
    <w:rsid w:val="507A2B92"/>
    <w:rsid w:val="507D33F9"/>
    <w:rsid w:val="50800FC2"/>
    <w:rsid w:val="508B155A"/>
    <w:rsid w:val="508E078E"/>
    <w:rsid w:val="509176A9"/>
    <w:rsid w:val="50941CF8"/>
    <w:rsid w:val="50A15D38"/>
    <w:rsid w:val="50AD025B"/>
    <w:rsid w:val="50D157DE"/>
    <w:rsid w:val="50F56352"/>
    <w:rsid w:val="51204B13"/>
    <w:rsid w:val="51382791"/>
    <w:rsid w:val="5142137A"/>
    <w:rsid w:val="5156444F"/>
    <w:rsid w:val="515C2758"/>
    <w:rsid w:val="515F1555"/>
    <w:rsid w:val="516052CE"/>
    <w:rsid w:val="51714DE5"/>
    <w:rsid w:val="51776E61"/>
    <w:rsid w:val="5184720E"/>
    <w:rsid w:val="518B5CE1"/>
    <w:rsid w:val="519531C9"/>
    <w:rsid w:val="51A72EFC"/>
    <w:rsid w:val="51D05FAF"/>
    <w:rsid w:val="51D1715A"/>
    <w:rsid w:val="51DB49E2"/>
    <w:rsid w:val="51E411EA"/>
    <w:rsid w:val="51F7178E"/>
    <w:rsid w:val="52084269"/>
    <w:rsid w:val="52092D36"/>
    <w:rsid w:val="52094D20"/>
    <w:rsid w:val="521A36CE"/>
    <w:rsid w:val="521A547C"/>
    <w:rsid w:val="522956BF"/>
    <w:rsid w:val="523463F0"/>
    <w:rsid w:val="523E560F"/>
    <w:rsid w:val="5261672F"/>
    <w:rsid w:val="52651FE2"/>
    <w:rsid w:val="527A416D"/>
    <w:rsid w:val="527C31C3"/>
    <w:rsid w:val="5293607E"/>
    <w:rsid w:val="52AA4A52"/>
    <w:rsid w:val="52B0193D"/>
    <w:rsid w:val="52C27FEE"/>
    <w:rsid w:val="52CB49C9"/>
    <w:rsid w:val="52DD7C25"/>
    <w:rsid w:val="52E42A4A"/>
    <w:rsid w:val="52F43F1F"/>
    <w:rsid w:val="52F70F24"/>
    <w:rsid w:val="52F73BE9"/>
    <w:rsid w:val="52F757BE"/>
    <w:rsid w:val="52FA3ECC"/>
    <w:rsid w:val="52FC2DD4"/>
    <w:rsid w:val="53085941"/>
    <w:rsid w:val="530F48B5"/>
    <w:rsid w:val="531445C2"/>
    <w:rsid w:val="5322748C"/>
    <w:rsid w:val="53446C55"/>
    <w:rsid w:val="53551D09"/>
    <w:rsid w:val="53886703"/>
    <w:rsid w:val="538E1C7E"/>
    <w:rsid w:val="539D33F2"/>
    <w:rsid w:val="53B748BB"/>
    <w:rsid w:val="53D0673A"/>
    <w:rsid w:val="53E37A74"/>
    <w:rsid w:val="53EC4173"/>
    <w:rsid w:val="53F15CD4"/>
    <w:rsid w:val="54077C82"/>
    <w:rsid w:val="54106B37"/>
    <w:rsid w:val="5426761E"/>
    <w:rsid w:val="54322F51"/>
    <w:rsid w:val="5458228C"/>
    <w:rsid w:val="54882B71"/>
    <w:rsid w:val="54931516"/>
    <w:rsid w:val="54BC281B"/>
    <w:rsid w:val="54DC3512"/>
    <w:rsid w:val="54E270C5"/>
    <w:rsid w:val="54E67898"/>
    <w:rsid w:val="54ED0C26"/>
    <w:rsid w:val="550A443C"/>
    <w:rsid w:val="550B7166"/>
    <w:rsid w:val="55142657"/>
    <w:rsid w:val="552D6818"/>
    <w:rsid w:val="5531145B"/>
    <w:rsid w:val="553D13DE"/>
    <w:rsid w:val="554271C4"/>
    <w:rsid w:val="555D5DAC"/>
    <w:rsid w:val="5588094F"/>
    <w:rsid w:val="558D0E56"/>
    <w:rsid w:val="558D41B7"/>
    <w:rsid w:val="558F1CDD"/>
    <w:rsid w:val="55913CA7"/>
    <w:rsid w:val="55B16389"/>
    <w:rsid w:val="55B55D4B"/>
    <w:rsid w:val="55D83684"/>
    <w:rsid w:val="55DA41B2"/>
    <w:rsid w:val="55FD3462"/>
    <w:rsid w:val="560C0B22"/>
    <w:rsid w:val="5640122A"/>
    <w:rsid w:val="56496330"/>
    <w:rsid w:val="56582A17"/>
    <w:rsid w:val="56927CD7"/>
    <w:rsid w:val="56981066"/>
    <w:rsid w:val="56AB0D99"/>
    <w:rsid w:val="56B6545B"/>
    <w:rsid w:val="56C2499D"/>
    <w:rsid w:val="56D4747C"/>
    <w:rsid w:val="56F37049"/>
    <w:rsid w:val="56FC4A0F"/>
    <w:rsid w:val="570C5CDB"/>
    <w:rsid w:val="57527466"/>
    <w:rsid w:val="57574F5E"/>
    <w:rsid w:val="577E1B88"/>
    <w:rsid w:val="578E47B1"/>
    <w:rsid w:val="57911D3D"/>
    <w:rsid w:val="579D2903"/>
    <w:rsid w:val="579F28B1"/>
    <w:rsid w:val="57A2219C"/>
    <w:rsid w:val="57A2554D"/>
    <w:rsid w:val="57A350B4"/>
    <w:rsid w:val="57A451D9"/>
    <w:rsid w:val="57A557E8"/>
    <w:rsid w:val="57B974E6"/>
    <w:rsid w:val="57C66ECF"/>
    <w:rsid w:val="57D04988"/>
    <w:rsid w:val="57D81033"/>
    <w:rsid w:val="57D83E10"/>
    <w:rsid w:val="57FD3876"/>
    <w:rsid w:val="583354EA"/>
    <w:rsid w:val="58405511"/>
    <w:rsid w:val="584C2108"/>
    <w:rsid w:val="586038DF"/>
    <w:rsid w:val="58615BB3"/>
    <w:rsid w:val="58671BD9"/>
    <w:rsid w:val="586F17BB"/>
    <w:rsid w:val="58705DF6"/>
    <w:rsid w:val="588642CA"/>
    <w:rsid w:val="588A3951"/>
    <w:rsid w:val="588B65C4"/>
    <w:rsid w:val="58915E9A"/>
    <w:rsid w:val="589A2E73"/>
    <w:rsid w:val="58A710B6"/>
    <w:rsid w:val="58B16616"/>
    <w:rsid w:val="58C3061C"/>
    <w:rsid w:val="58CD4FF7"/>
    <w:rsid w:val="58D10756"/>
    <w:rsid w:val="58DF4D2A"/>
    <w:rsid w:val="58EA1D07"/>
    <w:rsid w:val="58EA204C"/>
    <w:rsid w:val="58F433C8"/>
    <w:rsid w:val="591E5852"/>
    <w:rsid w:val="59225510"/>
    <w:rsid w:val="592A582B"/>
    <w:rsid w:val="59320CEB"/>
    <w:rsid w:val="594159E5"/>
    <w:rsid w:val="595145D6"/>
    <w:rsid w:val="5954428A"/>
    <w:rsid w:val="595D0461"/>
    <w:rsid w:val="5968142B"/>
    <w:rsid w:val="596A6CE9"/>
    <w:rsid w:val="597B0EF6"/>
    <w:rsid w:val="598002BB"/>
    <w:rsid w:val="599124C8"/>
    <w:rsid w:val="59DF76D7"/>
    <w:rsid w:val="59E74C9B"/>
    <w:rsid w:val="59EE1D15"/>
    <w:rsid w:val="59F42A57"/>
    <w:rsid w:val="59F823C0"/>
    <w:rsid w:val="5A0709DC"/>
    <w:rsid w:val="5A0A227A"/>
    <w:rsid w:val="5A1A070F"/>
    <w:rsid w:val="5A33532D"/>
    <w:rsid w:val="5A3735DC"/>
    <w:rsid w:val="5A513A05"/>
    <w:rsid w:val="5A620C4D"/>
    <w:rsid w:val="5A673229"/>
    <w:rsid w:val="5A6C6A91"/>
    <w:rsid w:val="5A7B277C"/>
    <w:rsid w:val="5A8B0293"/>
    <w:rsid w:val="5AA05C3F"/>
    <w:rsid w:val="5AA224B3"/>
    <w:rsid w:val="5ABA1C30"/>
    <w:rsid w:val="5ADB6021"/>
    <w:rsid w:val="5ADF42F6"/>
    <w:rsid w:val="5AEC6227"/>
    <w:rsid w:val="5AF00347"/>
    <w:rsid w:val="5B007F90"/>
    <w:rsid w:val="5B152C85"/>
    <w:rsid w:val="5B174C4F"/>
    <w:rsid w:val="5B2B06FA"/>
    <w:rsid w:val="5B3A093D"/>
    <w:rsid w:val="5B413A7A"/>
    <w:rsid w:val="5B501F0F"/>
    <w:rsid w:val="5B711E79"/>
    <w:rsid w:val="5B863B83"/>
    <w:rsid w:val="5BD26DC8"/>
    <w:rsid w:val="5BD3501A"/>
    <w:rsid w:val="5BD77926"/>
    <w:rsid w:val="5BEF34D6"/>
    <w:rsid w:val="5BF07808"/>
    <w:rsid w:val="5BFE5B97"/>
    <w:rsid w:val="5C016627"/>
    <w:rsid w:val="5C032072"/>
    <w:rsid w:val="5C074CC3"/>
    <w:rsid w:val="5C1949F7"/>
    <w:rsid w:val="5C1B246A"/>
    <w:rsid w:val="5C537F09"/>
    <w:rsid w:val="5C7445D1"/>
    <w:rsid w:val="5C8A1451"/>
    <w:rsid w:val="5C9E3E76"/>
    <w:rsid w:val="5CB169DD"/>
    <w:rsid w:val="5CB37235"/>
    <w:rsid w:val="5CB75C52"/>
    <w:rsid w:val="5CB84210"/>
    <w:rsid w:val="5CBD1826"/>
    <w:rsid w:val="5CC00E9C"/>
    <w:rsid w:val="5CCC3817"/>
    <w:rsid w:val="5CD5091E"/>
    <w:rsid w:val="5CD85CEA"/>
    <w:rsid w:val="5CE7316F"/>
    <w:rsid w:val="5CF628A9"/>
    <w:rsid w:val="5D0559C6"/>
    <w:rsid w:val="5D1256CE"/>
    <w:rsid w:val="5D153410"/>
    <w:rsid w:val="5D3041DD"/>
    <w:rsid w:val="5D4029F4"/>
    <w:rsid w:val="5D415FB3"/>
    <w:rsid w:val="5D4810F0"/>
    <w:rsid w:val="5D6A375C"/>
    <w:rsid w:val="5D726E90"/>
    <w:rsid w:val="5D775E79"/>
    <w:rsid w:val="5D794F45"/>
    <w:rsid w:val="5D7D4B0B"/>
    <w:rsid w:val="5D887F82"/>
    <w:rsid w:val="5DA56542"/>
    <w:rsid w:val="5DB6392D"/>
    <w:rsid w:val="5DD21AD4"/>
    <w:rsid w:val="5DF41210"/>
    <w:rsid w:val="5E0B036F"/>
    <w:rsid w:val="5E195453"/>
    <w:rsid w:val="5E1F3B6D"/>
    <w:rsid w:val="5E285137"/>
    <w:rsid w:val="5E2FC740"/>
    <w:rsid w:val="5E3A0775"/>
    <w:rsid w:val="5E400123"/>
    <w:rsid w:val="5E4915C3"/>
    <w:rsid w:val="5E61741F"/>
    <w:rsid w:val="5E693A13"/>
    <w:rsid w:val="5E6E31C1"/>
    <w:rsid w:val="5E7738D6"/>
    <w:rsid w:val="5E79177D"/>
    <w:rsid w:val="5E800860"/>
    <w:rsid w:val="5E93770C"/>
    <w:rsid w:val="5E940365"/>
    <w:rsid w:val="5E9F5687"/>
    <w:rsid w:val="5EAA5DDA"/>
    <w:rsid w:val="5EAE1426"/>
    <w:rsid w:val="5EB01F09"/>
    <w:rsid w:val="5EB32429"/>
    <w:rsid w:val="5EBB3B43"/>
    <w:rsid w:val="5EDA046D"/>
    <w:rsid w:val="5F0E4646"/>
    <w:rsid w:val="5F1A3314"/>
    <w:rsid w:val="5F1D035A"/>
    <w:rsid w:val="5F297C78"/>
    <w:rsid w:val="5F2D2727"/>
    <w:rsid w:val="5F41673E"/>
    <w:rsid w:val="5F434264"/>
    <w:rsid w:val="5F4F75C6"/>
    <w:rsid w:val="5F5226F9"/>
    <w:rsid w:val="5F70492E"/>
    <w:rsid w:val="5F7679C4"/>
    <w:rsid w:val="5F83548F"/>
    <w:rsid w:val="5F895ABF"/>
    <w:rsid w:val="5F8E1258"/>
    <w:rsid w:val="5FA34D03"/>
    <w:rsid w:val="5FA36AB1"/>
    <w:rsid w:val="5FB05672"/>
    <w:rsid w:val="5FB567E4"/>
    <w:rsid w:val="5FC066C2"/>
    <w:rsid w:val="5FC21912"/>
    <w:rsid w:val="5FCBE9B3"/>
    <w:rsid w:val="5FCF0CE3"/>
    <w:rsid w:val="5FDA449D"/>
    <w:rsid w:val="5FE0407F"/>
    <w:rsid w:val="5FE175D9"/>
    <w:rsid w:val="5FFE018B"/>
    <w:rsid w:val="60002CE5"/>
    <w:rsid w:val="6005151A"/>
    <w:rsid w:val="600B28A8"/>
    <w:rsid w:val="60493268"/>
    <w:rsid w:val="604A3ACD"/>
    <w:rsid w:val="604F4E8B"/>
    <w:rsid w:val="60597AB8"/>
    <w:rsid w:val="60854D24"/>
    <w:rsid w:val="608F34D9"/>
    <w:rsid w:val="609B1E7E"/>
    <w:rsid w:val="60C10064"/>
    <w:rsid w:val="60CC028A"/>
    <w:rsid w:val="60DE6B36"/>
    <w:rsid w:val="60E2749D"/>
    <w:rsid w:val="60F0438E"/>
    <w:rsid w:val="60F577E0"/>
    <w:rsid w:val="60FC4F17"/>
    <w:rsid w:val="60FF41BB"/>
    <w:rsid w:val="610B0DB2"/>
    <w:rsid w:val="61151C31"/>
    <w:rsid w:val="61175BDA"/>
    <w:rsid w:val="611C2FBF"/>
    <w:rsid w:val="612F6730"/>
    <w:rsid w:val="613D1187"/>
    <w:rsid w:val="613F280A"/>
    <w:rsid w:val="61480B6C"/>
    <w:rsid w:val="61487AC6"/>
    <w:rsid w:val="61693D2A"/>
    <w:rsid w:val="61783F6D"/>
    <w:rsid w:val="617E7959"/>
    <w:rsid w:val="61871AC8"/>
    <w:rsid w:val="61871BEC"/>
    <w:rsid w:val="618B3CA1"/>
    <w:rsid w:val="61903065"/>
    <w:rsid w:val="61972EF3"/>
    <w:rsid w:val="619D2C5F"/>
    <w:rsid w:val="61E31E12"/>
    <w:rsid w:val="61EB2BDE"/>
    <w:rsid w:val="620E2B45"/>
    <w:rsid w:val="621041A6"/>
    <w:rsid w:val="622019C2"/>
    <w:rsid w:val="6227726F"/>
    <w:rsid w:val="6232236E"/>
    <w:rsid w:val="62460F0F"/>
    <w:rsid w:val="624A3B5C"/>
    <w:rsid w:val="624F1172"/>
    <w:rsid w:val="625543D8"/>
    <w:rsid w:val="62682234"/>
    <w:rsid w:val="62697E18"/>
    <w:rsid w:val="62744735"/>
    <w:rsid w:val="628232F6"/>
    <w:rsid w:val="629D3C8C"/>
    <w:rsid w:val="62A76882"/>
    <w:rsid w:val="62B47227"/>
    <w:rsid w:val="62C9185B"/>
    <w:rsid w:val="62E30E34"/>
    <w:rsid w:val="62E53885"/>
    <w:rsid w:val="62FD6392"/>
    <w:rsid w:val="630261E5"/>
    <w:rsid w:val="630B25E1"/>
    <w:rsid w:val="630C5EBA"/>
    <w:rsid w:val="632901EB"/>
    <w:rsid w:val="63424833"/>
    <w:rsid w:val="634A2F00"/>
    <w:rsid w:val="63626082"/>
    <w:rsid w:val="6380775D"/>
    <w:rsid w:val="6389793D"/>
    <w:rsid w:val="638F7B42"/>
    <w:rsid w:val="63AC7EFE"/>
    <w:rsid w:val="63AE3C76"/>
    <w:rsid w:val="63CB2A7A"/>
    <w:rsid w:val="63E853DA"/>
    <w:rsid w:val="63FA350B"/>
    <w:rsid w:val="64002BE9"/>
    <w:rsid w:val="640D13A6"/>
    <w:rsid w:val="640F6E0B"/>
    <w:rsid w:val="64115956"/>
    <w:rsid w:val="64152349"/>
    <w:rsid w:val="643028DD"/>
    <w:rsid w:val="64346872"/>
    <w:rsid w:val="644D16E1"/>
    <w:rsid w:val="645667E8"/>
    <w:rsid w:val="646A4041"/>
    <w:rsid w:val="6470717E"/>
    <w:rsid w:val="647749B0"/>
    <w:rsid w:val="647924D6"/>
    <w:rsid w:val="64813139"/>
    <w:rsid w:val="64990483"/>
    <w:rsid w:val="64AF5EF8"/>
    <w:rsid w:val="64C574CA"/>
    <w:rsid w:val="64DF6C0C"/>
    <w:rsid w:val="64E1376B"/>
    <w:rsid w:val="64EE1A97"/>
    <w:rsid w:val="65170EB5"/>
    <w:rsid w:val="652A37D1"/>
    <w:rsid w:val="65385EEE"/>
    <w:rsid w:val="653B3C30"/>
    <w:rsid w:val="6546059E"/>
    <w:rsid w:val="654C3DDC"/>
    <w:rsid w:val="65584B18"/>
    <w:rsid w:val="655F791E"/>
    <w:rsid w:val="65642659"/>
    <w:rsid w:val="656FEE27"/>
    <w:rsid w:val="657607C4"/>
    <w:rsid w:val="657D1B52"/>
    <w:rsid w:val="657E2654"/>
    <w:rsid w:val="65841133"/>
    <w:rsid w:val="659A2704"/>
    <w:rsid w:val="65B512EC"/>
    <w:rsid w:val="65B873ED"/>
    <w:rsid w:val="65CD0D2C"/>
    <w:rsid w:val="65D375F8"/>
    <w:rsid w:val="65E61ACD"/>
    <w:rsid w:val="65F539B6"/>
    <w:rsid w:val="65FC6F1B"/>
    <w:rsid w:val="65FF6A0B"/>
    <w:rsid w:val="660D52D7"/>
    <w:rsid w:val="660E6661"/>
    <w:rsid w:val="663018E6"/>
    <w:rsid w:val="66501015"/>
    <w:rsid w:val="665017A0"/>
    <w:rsid w:val="66794A10"/>
    <w:rsid w:val="6692787F"/>
    <w:rsid w:val="66A54D49"/>
    <w:rsid w:val="66AB26EF"/>
    <w:rsid w:val="66E42D65"/>
    <w:rsid w:val="66EF082E"/>
    <w:rsid w:val="67023F04"/>
    <w:rsid w:val="6707201B"/>
    <w:rsid w:val="672030DD"/>
    <w:rsid w:val="67253B36"/>
    <w:rsid w:val="67381B08"/>
    <w:rsid w:val="673B39AD"/>
    <w:rsid w:val="67437ADB"/>
    <w:rsid w:val="675D60DF"/>
    <w:rsid w:val="67761A2F"/>
    <w:rsid w:val="67803D19"/>
    <w:rsid w:val="67B331D4"/>
    <w:rsid w:val="67BA708E"/>
    <w:rsid w:val="67BF555B"/>
    <w:rsid w:val="67CE48E7"/>
    <w:rsid w:val="67D7DE0A"/>
    <w:rsid w:val="67E41AF7"/>
    <w:rsid w:val="680B583D"/>
    <w:rsid w:val="680C1CEE"/>
    <w:rsid w:val="683C09C0"/>
    <w:rsid w:val="68556DB7"/>
    <w:rsid w:val="68617509"/>
    <w:rsid w:val="68662D72"/>
    <w:rsid w:val="68680898"/>
    <w:rsid w:val="688B27D8"/>
    <w:rsid w:val="68A21116"/>
    <w:rsid w:val="68BC0BE4"/>
    <w:rsid w:val="68BE49F6"/>
    <w:rsid w:val="68D44600"/>
    <w:rsid w:val="68DB3760"/>
    <w:rsid w:val="68F22857"/>
    <w:rsid w:val="69192872"/>
    <w:rsid w:val="691C1682"/>
    <w:rsid w:val="691D506A"/>
    <w:rsid w:val="691E189E"/>
    <w:rsid w:val="692A0A4E"/>
    <w:rsid w:val="694C01BA"/>
    <w:rsid w:val="695E7EED"/>
    <w:rsid w:val="696E3020"/>
    <w:rsid w:val="69724444"/>
    <w:rsid w:val="6974326C"/>
    <w:rsid w:val="697F03ED"/>
    <w:rsid w:val="6985191D"/>
    <w:rsid w:val="69A173E4"/>
    <w:rsid w:val="69A73335"/>
    <w:rsid w:val="69A753F0"/>
    <w:rsid w:val="69B875FD"/>
    <w:rsid w:val="69CA10DE"/>
    <w:rsid w:val="69EA09DE"/>
    <w:rsid w:val="69EA2E1C"/>
    <w:rsid w:val="6A040A94"/>
    <w:rsid w:val="6A043698"/>
    <w:rsid w:val="6A15288C"/>
    <w:rsid w:val="6A186165"/>
    <w:rsid w:val="6A242EE4"/>
    <w:rsid w:val="6A2C1D99"/>
    <w:rsid w:val="6A385366"/>
    <w:rsid w:val="6A3F6C07"/>
    <w:rsid w:val="6A4B221F"/>
    <w:rsid w:val="6A590DE0"/>
    <w:rsid w:val="6A723C50"/>
    <w:rsid w:val="6A7839C6"/>
    <w:rsid w:val="6A815C41"/>
    <w:rsid w:val="6A8B35E2"/>
    <w:rsid w:val="6A9A5A54"/>
    <w:rsid w:val="6AA17B4E"/>
    <w:rsid w:val="6AB419D3"/>
    <w:rsid w:val="6AB63143"/>
    <w:rsid w:val="6AC60C91"/>
    <w:rsid w:val="6AD229E0"/>
    <w:rsid w:val="6AE368FC"/>
    <w:rsid w:val="6AEC0EA2"/>
    <w:rsid w:val="6AEF34F2"/>
    <w:rsid w:val="6AF6CB82"/>
    <w:rsid w:val="6AFD6499"/>
    <w:rsid w:val="6B2057D3"/>
    <w:rsid w:val="6B343DFE"/>
    <w:rsid w:val="6B364C7D"/>
    <w:rsid w:val="6B3A6EA4"/>
    <w:rsid w:val="6B3E3B32"/>
    <w:rsid w:val="6B3F29B0"/>
    <w:rsid w:val="6B5577B9"/>
    <w:rsid w:val="6B712159"/>
    <w:rsid w:val="6B8C2AEF"/>
    <w:rsid w:val="6B8F508E"/>
    <w:rsid w:val="6B916B75"/>
    <w:rsid w:val="6BA35F11"/>
    <w:rsid w:val="6BB00113"/>
    <w:rsid w:val="6BD12BF8"/>
    <w:rsid w:val="6BE20996"/>
    <w:rsid w:val="6BE648F5"/>
    <w:rsid w:val="6BF80185"/>
    <w:rsid w:val="6BFE587F"/>
    <w:rsid w:val="6C0134DD"/>
    <w:rsid w:val="6C144168"/>
    <w:rsid w:val="6C1D7BEB"/>
    <w:rsid w:val="6C203030"/>
    <w:rsid w:val="6C3311BD"/>
    <w:rsid w:val="6C3A124D"/>
    <w:rsid w:val="6C3C2767"/>
    <w:rsid w:val="6C3F7B62"/>
    <w:rsid w:val="6C5D448C"/>
    <w:rsid w:val="6C5F0204"/>
    <w:rsid w:val="6C7F36AF"/>
    <w:rsid w:val="6C854CCC"/>
    <w:rsid w:val="6C8C6B1F"/>
    <w:rsid w:val="6CB5251A"/>
    <w:rsid w:val="6CBE50C0"/>
    <w:rsid w:val="6CC00540"/>
    <w:rsid w:val="6CC85DA9"/>
    <w:rsid w:val="6CCB2F1C"/>
    <w:rsid w:val="6CDE737B"/>
    <w:rsid w:val="6CDF2C9A"/>
    <w:rsid w:val="6CE626D3"/>
    <w:rsid w:val="6CEF77DA"/>
    <w:rsid w:val="6CF7668E"/>
    <w:rsid w:val="6D031FDB"/>
    <w:rsid w:val="6D056FFD"/>
    <w:rsid w:val="6D090170"/>
    <w:rsid w:val="6D1C7C4C"/>
    <w:rsid w:val="6D25144D"/>
    <w:rsid w:val="6D2F531A"/>
    <w:rsid w:val="6D711AC2"/>
    <w:rsid w:val="6D7952F5"/>
    <w:rsid w:val="6D7D4B4A"/>
    <w:rsid w:val="6D9A31FE"/>
    <w:rsid w:val="6DA21984"/>
    <w:rsid w:val="6DA46816"/>
    <w:rsid w:val="6DB11F5C"/>
    <w:rsid w:val="6DB63E67"/>
    <w:rsid w:val="6DC76061"/>
    <w:rsid w:val="6E423939"/>
    <w:rsid w:val="6E766699"/>
    <w:rsid w:val="6E7D0E15"/>
    <w:rsid w:val="6E843F52"/>
    <w:rsid w:val="6EA11279"/>
    <w:rsid w:val="6EA91C0A"/>
    <w:rsid w:val="6EAD4B62"/>
    <w:rsid w:val="6EAE5472"/>
    <w:rsid w:val="6EB74327"/>
    <w:rsid w:val="6EB78FE3"/>
    <w:rsid w:val="6EC50223"/>
    <w:rsid w:val="6ED749C9"/>
    <w:rsid w:val="6F086931"/>
    <w:rsid w:val="6F1352D6"/>
    <w:rsid w:val="6F2B0871"/>
    <w:rsid w:val="6F370FC4"/>
    <w:rsid w:val="6F543739"/>
    <w:rsid w:val="6F694B09"/>
    <w:rsid w:val="6F6F2327"/>
    <w:rsid w:val="6F72024E"/>
    <w:rsid w:val="6F8D5088"/>
    <w:rsid w:val="6F93492B"/>
    <w:rsid w:val="6F94195C"/>
    <w:rsid w:val="6FA80114"/>
    <w:rsid w:val="6FAE2A7D"/>
    <w:rsid w:val="6FB519BD"/>
    <w:rsid w:val="6FB77CFB"/>
    <w:rsid w:val="6FD638B2"/>
    <w:rsid w:val="6FE23626"/>
    <w:rsid w:val="6FFF70D9"/>
    <w:rsid w:val="6FFFF310"/>
    <w:rsid w:val="70074E3A"/>
    <w:rsid w:val="701724AD"/>
    <w:rsid w:val="70195548"/>
    <w:rsid w:val="70356321"/>
    <w:rsid w:val="70380052"/>
    <w:rsid w:val="703D1AEF"/>
    <w:rsid w:val="703F4C5F"/>
    <w:rsid w:val="704A2F79"/>
    <w:rsid w:val="704A4D27"/>
    <w:rsid w:val="704A5776"/>
    <w:rsid w:val="705636CC"/>
    <w:rsid w:val="705F07D2"/>
    <w:rsid w:val="70674372"/>
    <w:rsid w:val="70717342"/>
    <w:rsid w:val="707638C3"/>
    <w:rsid w:val="708801EE"/>
    <w:rsid w:val="70B56644"/>
    <w:rsid w:val="70C748B3"/>
    <w:rsid w:val="70CC1BE0"/>
    <w:rsid w:val="70E84C6C"/>
    <w:rsid w:val="70EB6F9A"/>
    <w:rsid w:val="70EC5954"/>
    <w:rsid w:val="7104137A"/>
    <w:rsid w:val="710456E6"/>
    <w:rsid w:val="71063344"/>
    <w:rsid w:val="71072C18"/>
    <w:rsid w:val="710C3FE4"/>
    <w:rsid w:val="712202FE"/>
    <w:rsid w:val="712D08D1"/>
    <w:rsid w:val="71454DFD"/>
    <w:rsid w:val="7157594D"/>
    <w:rsid w:val="7158306D"/>
    <w:rsid w:val="716E0C6E"/>
    <w:rsid w:val="71722787"/>
    <w:rsid w:val="717E2EDA"/>
    <w:rsid w:val="71834994"/>
    <w:rsid w:val="71902C0D"/>
    <w:rsid w:val="71A32941"/>
    <w:rsid w:val="71A566B9"/>
    <w:rsid w:val="71A941A9"/>
    <w:rsid w:val="71B763EC"/>
    <w:rsid w:val="71CA25C3"/>
    <w:rsid w:val="71CB0C73"/>
    <w:rsid w:val="71D50007"/>
    <w:rsid w:val="71DB4531"/>
    <w:rsid w:val="71DD22F7"/>
    <w:rsid w:val="71FC02A3"/>
    <w:rsid w:val="71FD5425"/>
    <w:rsid w:val="72000236"/>
    <w:rsid w:val="7205184D"/>
    <w:rsid w:val="72113D47"/>
    <w:rsid w:val="721F71B9"/>
    <w:rsid w:val="723B0DCB"/>
    <w:rsid w:val="723C4040"/>
    <w:rsid w:val="724063E2"/>
    <w:rsid w:val="724265FE"/>
    <w:rsid w:val="724F0D1A"/>
    <w:rsid w:val="725325B9"/>
    <w:rsid w:val="725B0A0C"/>
    <w:rsid w:val="725B7D61"/>
    <w:rsid w:val="72681528"/>
    <w:rsid w:val="727A6A6D"/>
    <w:rsid w:val="72850298"/>
    <w:rsid w:val="729615F4"/>
    <w:rsid w:val="72A44BC2"/>
    <w:rsid w:val="72A77210"/>
    <w:rsid w:val="72B50B7E"/>
    <w:rsid w:val="72C54B39"/>
    <w:rsid w:val="72CA5DE6"/>
    <w:rsid w:val="72D51E8A"/>
    <w:rsid w:val="72D54D7C"/>
    <w:rsid w:val="72D57B9F"/>
    <w:rsid w:val="72D9116C"/>
    <w:rsid w:val="730613D9"/>
    <w:rsid w:val="73096C69"/>
    <w:rsid w:val="73102DD9"/>
    <w:rsid w:val="73441409"/>
    <w:rsid w:val="734B29F4"/>
    <w:rsid w:val="73505206"/>
    <w:rsid w:val="73532145"/>
    <w:rsid w:val="7361270D"/>
    <w:rsid w:val="736B748E"/>
    <w:rsid w:val="73724CC1"/>
    <w:rsid w:val="737A67E6"/>
    <w:rsid w:val="73A31711"/>
    <w:rsid w:val="73AE7220"/>
    <w:rsid w:val="73B659C2"/>
    <w:rsid w:val="73BA1D23"/>
    <w:rsid w:val="73C109E1"/>
    <w:rsid w:val="73C41AE8"/>
    <w:rsid w:val="73D12EA6"/>
    <w:rsid w:val="73D9089C"/>
    <w:rsid w:val="73D90FFB"/>
    <w:rsid w:val="73E57241"/>
    <w:rsid w:val="73E80AF4"/>
    <w:rsid w:val="740E4B4D"/>
    <w:rsid w:val="7416389E"/>
    <w:rsid w:val="742D26F1"/>
    <w:rsid w:val="74311F2E"/>
    <w:rsid w:val="744D4DE6"/>
    <w:rsid w:val="744F0B5E"/>
    <w:rsid w:val="74687E72"/>
    <w:rsid w:val="74716D26"/>
    <w:rsid w:val="74744A68"/>
    <w:rsid w:val="74786307"/>
    <w:rsid w:val="748527D2"/>
    <w:rsid w:val="748A147D"/>
    <w:rsid w:val="74AC4202"/>
    <w:rsid w:val="74B66E2F"/>
    <w:rsid w:val="74BD61CC"/>
    <w:rsid w:val="74BE7A92"/>
    <w:rsid w:val="74C257D4"/>
    <w:rsid w:val="74D07EF1"/>
    <w:rsid w:val="74F47D5D"/>
    <w:rsid w:val="750110A2"/>
    <w:rsid w:val="75120A8D"/>
    <w:rsid w:val="75451473"/>
    <w:rsid w:val="75513AF3"/>
    <w:rsid w:val="75523EA3"/>
    <w:rsid w:val="75596138"/>
    <w:rsid w:val="7576740E"/>
    <w:rsid w:val="757768F3"/>
    <w:rsid w:val="759E0B41"/>
    <w:rsid w:val="75AF1327"/>
    <w:rsid w:val="75B026A7"/>
    <w:rsid w:val="75B95A4E"/>
    <w:rsid w:val="75BE5F9B"/>
    <w:rsid w:val="75D7C0F4"/>
    <w:rsid w:val="75EA61EC"/>
    <w:rsid w:val="75F220E9"/>
    <w:rsid w:val="75F76AC7"/>
    <w:rsid w:val="76165206"/>
    <w:rsid w:val="76211A8C"/>
    <w:rsid w:val="763D4224"/>
    <w:rsid w:val="76415A73"/>
    <w:rsid w:val="764510FA"/>
    <w:rsid w:val="7647594D"/>
    <w:rsid w:val="764C7A4B"/>
    <w:rsid w:val="76536204"/>
    <w:rsid w:val="76547EDE"/>
    <w:rsid w:val="768014A2"/>
    <w:rsid w:val="76952BFF"/>
    <w:rsid w:val="76C53359"/>
    <w:rsid w:val="76CDA53B"/>
    <w:rsid w:val="76D0044B"/>
    <w:rsid w:val="76D65566"/>
    <w:rsid w:val="76DF6B4E"/>
    <w:rsid w:val="76E86DB9"/>
    <w:rsid w:val="76E9529A"/>
    <w:rsid w:val="76EA2DC0"/>
    <w:rsid w:val="76EC4D8A"/>
    <w:rsid w:val="76FF79F5"/>
    <w:rsid w:val="772A28CF"/>
    <w:rsid w:val="772F1EE0"/>
    <w:rsid w:val="7732182B"/>
    <w:rsid w:val="774921DC"/>
    <w:rsid w:val="774B4D2E"/>
    <w:rsid w:val="77540F03"/>
    <w:rsid w:val="775828AB"/>
    <w:rsid w:val="776E39F1"/>
    <w:rsid w:val="77907953"/>
    <w:rsid w:val="77930EE7"/>
    <w:rsid w:val="779654A3"/>
    <w:rsid w:val="77A25449"/>
    <w:rsid w:val="77AFD981"/>
    <w:rsid w:val="77B574B0"/>
    <w:rsid w:val="77B77146"/>
    <w:rsid w:val="77BA3F59"/>
    <w:rsid w:val="77DFB088"/>
    <w:rsid w:val="77E65C7D"/>
    <w:rsid w:val="77E71E6A"/>
    <w:rsid w:val="77E7288A"/>
    <w:rsid w:val="77EFEFAB"/>
    <w:rsid w:val="77F55EC0"/>
    <w:rsid w:val="77FA34D6"/>
    <w:rsid w:val="782105C9"/>
    <w:rsid w:val="783C3331"/>
    <w:rsid w:val="78574485"/>
    <w:rsid w:val="786D5A56"/>
    <w:rsid w:val="7879264D"/>
    <w:rsid w:val="78830352"/>
    <w:rsid w:val="78961451"/>
    <w:rsid w:val="78A43B6E"/>
    <w:rsid w:val="78AB0237"/>
    <w:rsid w:val="78CE4250"/>
    <w:rsid w:val="78D95DE7"/>
    <w:rsid w:val="790540C6"/>
    <w:rsid w:val="791459F8"/>
    <w:rsid w:val="7927654D"/>
    <w:rsid w:val="792B4997"/>
    <w:rsid w:val="79314CD6"/>
    <w:rsid w:val="793F39FB"/>
    <w:rsid w:val="794819BB"/>
    <w:rsid w:val="795409C4"/>
    <w:rsid w:val="795B1D53"/>
    <w:rsid w:val="79766B8D"/>
    <w:rsid w:val="797B7075"/>
    <w:rsid w:val="79825532"/>
    <w:rsid w:val="798C3041"/>
    <w:rsid w:val="798E3ED6"/>
    <w:rsid w:val="79935991"/>
    <w:rsid w:val="79941A57"/>
    <w:rsid w:val="79FA0CEA"/>
    <w:rsid w:val="7A052588"/>
    <w:rsid w:val="7A0D5B55"/>
    <w:rsid w:val="7A146AD1"/>
    <w:rsid w:val="7A2B7977"/>
    <w:rsid w:val="7A2D1941"/>
    <w:rsid w:val="7A3E07D4"/>
    <w:rsid w:val="7A44714F"/>
    <w:rsid w:val="7A4B40F7"/>
    <w:rsid w:val="7A546ECE"/>
    <w:rsid w:val="7A7237F8"/>
    <w:rsid w:val="7A7607F4"/>
    <w:rsid w:val="7A770E0E"/>
    <w:rsid w:val="7A7C4677"/>
    <w:rsid w:val="7A7E77F0"/>
    <w:rsid w:val="7A820B3E"/>
    <w:rsid w:val="7A9674E6"/>
    <w:rsid w:val="7AA03EC1"/>
    <w:rsid w:val="7AAE62EB"/>
    <w:rsid w:val="7AC06271"/>
    <w:rsid w:val="7AC1208A"/>
    <w:rsid w:val="7AC26506"/>
    <w:rsid w:val="7AC57DCC"/>
    <w:rsid w:val="7AC80EF5"/>
    <w:rsid w:val="7AD26731"/>
    <w:rsid w:val="7ADE0E8D"/>
    <w:rsid w:val="7AE33563"/>
    <w:rsid w:val="7AED1DB7"/>
    <w:rsid w:val="7AEF529C"/>
    <w:rsid w:val="7AF03A81"/>
    <w:rsid w:val="7AF83CFD"/>
    <w:rsid w:val="7B1466D9"/>
    <w:rsid w:val="7B160627"/>
    <w:rsid w:val="7B205002"/>
    <w:rsid w:val="7B5B76F6"/>
    <w:rsid w:val="7B656EB9"/>
    <w:rsid w:val="7B687129"/>
    <w:rsid w:val="7B7956FF"/>
    <w:rsid w:val="7B79BA4D"/>
    <w:rsid w:val="7B8F3F36"/>
    <w:rsid w:val="7B9854E0"/>
    <w:rsid w:val="7B9A6B62"/>
    <w:rsid w:val="7B9C6D7F"/>
    <w:rsid w:val="7BA21559"/>
    <w:rsid w:val="7BA56056"/>
    <w:rsid w:val="7BB03C47"/>
    <w:rsid w:val="7BB340C8"/>
    <w:rsid w:val="7BC97448"/>
    <w:rsid w:val="7BF001E1"/>
    <w:rsid w:val="7BF962A0"/>
    <w:rsid w:val="7BF968ED"/>
    <w:rsid w:val="7BFD37FE"/>
    <w:rsid w:val="7C06305E"/>
    <w:rsid w:val="7C10151B"/>
    <w:rsid w:val="7C15268D"/>
    <w:rsid w:val="7C211032"/>
    <w:rsid w:val="7C246D74"/>
    <w:rsid w:val="7C282F2D"/>
    <w:rsid w:val="7C464F3C"/>
    <w:rsid w:val="7C48005F"/>
    <w:rsid w:val="7C624616"/>
    <w:rsid w:val="7C745605"/>
    <w:rsid w:val="7C75312C"/>
    <w:rsid w:val="7C860278"/>
    <w:rsid w:val="7C975798"/>
    <w:rsid w:val="7C9C4B5C"/>
    <w:rsid w:val="7C9E3300"/>
    <w:rsid w:val="7CA664A4"/>
    <w:rsid w:val="7CAF76DF"/>
    <w:rsid w:val="7CC2196C"/>
    <w:rsid w:val="7CF60710"/>
    <w:rsid w:val="7CFC3E17"/>
    <w:rsid w:val="7CFF2350"/>
    <w:rsid w:val="7D060228"/>
    <w:rsid w:val="7D2163C3"/>
    <w:rsid w:val="7D2D262B"/>
    <w:rsid w:val="7D311C76"/>
    <w:rsid w:val="7D36003F"/>
    <w:rsid w:val="7D3E79C1"/>
    <w:rsid w:val="7D4A0A5C"/>
    <w:rsid w:val="7D4C4461"/>
    <w:rsid w:val="7D6B2EAC"/>
    <w:rsid w:val="7D7B6E68"/>
    <w:rsid w:val="7D835B66"/>
    <w:rsid w:val="7D9615AC"/>
    <w:rsid w:val="7DA500D2"/>
    <w:rsid w:val="7DBD122E"/>
    <w:rsid w:val="7DBF173B"/>
    <w:rsid w:val="7DD18F56"/>
    <w:rsid w:val="7DDF11A4"/>
    <w:rsid w:val="7DDFCFDB"/>
    <w:rsid w:val="7DE247F1"/>
    <w:rsid w:val="7DEFA6CF"/>
    <w:rsid w:val="7E040C0B"/>
    <w:rsid w:val="7E070777"/>
    <w:rsid w:val="7E196EF9"/>
    <w:rsid w:val="7E24305B"/>
    <w:rsid w:val="7E590F57"/>
    <w:rsid w:val="7E5A082B"/>
    <w:rsid w:val="7E60089C"/>
    <w:rsid w:val="7E7A2C7B"/>
    <w:rsid w:val="7E8629E8"/>
    <w:rsid w:val="7EA23D68"/>
    <w:rsid w:val="7EB663A9"/>
    <w:rsid w:val="7EB9CB76"/>
    <w:rsid w:val="7ECD60DA"/>
    <w:rsid w:val="7EED169F"/>
    <w:rsid w:val="7EED6B10"/>
    <w:rsid w:val="7EF61026"/>
    <w:rsid w:val="7EF7251E"/>
    <w:rsid w:val="7EF7D328"/>
    <w:rsid w:val="7EFEEF3B"/>
    <w:rsid w:val="7F01514B"/>
    <w:rsid w:val="7F030EC3"/>
    <w:rsid w:val="7F3177DE"/>
    <w:rsid w:val="7F385271"/>
    <w:rsid w:val="7F392F8A"/>
    <w:rsid w:val="7F502829"/>
    <w:rsid w:val="7F6DB343"/>
    <w:rsid w:val="7F761695"/>
    <w:rsid w:val="7F89586C"/>
    <w:rsid w:val="7FA050A5"/>
    <w:rsid w:val="7FA26CDE"/>
    <w:rsid w:val="7FA51F7A"/>
    <w:rsid w:val="7FAF730B"/>
    <w:rsid w:val="7FBD97BE"/>
    <w:rsid w:val="7FBF41DD"/>
    <w:rsid w:val="7FBF83E9"/>
    <w:rsid w:val="7FEC2DD8"/>
    <w:rsid w:val="7FEC7D7D"/>
    <w:rsid w:val="7FF9128D"/>
    <w:rsid w:val="7FFC705B"/>
    <w:rsid w:val="7FFD1B16"/>
    <w:rsid w:val="7FFF53EE"/>
    <w:rsid w:val="8EF7393B"/>
    <w:rsid w:val="97DAC70A"/>
    <w:rsid w:val="9B5C3377"/>
    <w:rsid w:val="9EDD91D8"/>
    <w:rsid w:val="ABDF8D71"/>
    <w:rsid w:val="AF5DAE02"/>
    <w:rsid w:val="BBD7AB09"/>
    <w:rsid w:val="BBDFD41F"/>
    <w:rsid w:val="BC7C7330"/>
    <w:rsid w:val="BCFF962C"/>
    <w:rsid w:val="BDDB0D9C"/>
    <w:rsid w:val="BDF941CE"/>
    <w:rsid w:val="BEDF40E0"/>
    <w:rsid w:val="BF7F0003"/>
    <w:rsid w:val="BFAA0862"/>
    <w:rsid w:val="BFACD775"/>
    <w:rsid w:val="BFBFA0D0"/>
    <w:rsid w:val="BFD6777C"/>
    <w:rsid w:val="C5EFB809"/>
    <w:rsid w:val="CBCF0EB2"/>
    <w:rsid w:val="CEB44ACF"/>
    <w:rsid w:val="D6FF90ED"/>
    <w:rsid w:val="D7F77825"/>
    <w:rsid w:val="D9FB03C4"/>
    <w:rsid w:val="DBDB3C40"/>
    <w:rsid w:val="DCF74F73"/>
    <w:rsid w:val="DFB34CFE"/>
    <w:rsid w:val="E6BD6EA5"/>
    <w:rsid w:val="E7FF77CB"/>
    <w:rsid w:val="EBF99973"/>
    <w:rsid w:val="EF7FAB12"/>
    <w:rsid w:val="EFFABC86"/>
    <w:rsid w:val="EFFF36B7"/>
    <w:rsid w:val="F39701DF"/>
    <w:rsid w:val="F3FE7220"/>
    <w:rsid w:val="F4D937B9"/>
    <w:rsid w:val="F5BF3F11"/>
    <w:rsid w:val="F6EFC174"/>
    <w:rsid w:val="F76391A8"/>
    <w:rsid w:val="F7FFA4CF"/>
    <w:rsid w:val="FB665E55"/>
    <w:rsid w:val="FB7F5703"/>
    <w:rsid w:val="FBBAE902"/>
    <w:rsid w:val="FBF6DD08"/>
    <w:rsid w:val="FCDDD2DE"/>
    <w:rsid w:val="FCFFFC65"/>
    <w:rsid w:val="FD3D1812"/>
    <w:rsid w:val="FD7F42E9"/>
    <w:rsid w:val="FDD9FC46"/>
    <w:rsid w:val="FDDD2C3C"/>
    <w:rsid w:val="FDEFC73F"/>
    <w:rsid w:val="FDFF112C"/>
    <w:rsid w:val="FEEF9638"/>
    <w:rsid w:val="FF3337B8"/>
    <w:rsid w:val="FF4E225D"/>
    <w:rsid w:val="FF6F3044"/>
    <w:rsid w:val="FF7003A5"/>
    <w:rsid w:val="FFB9439D"/>
    <w:rsid w:val="FFBD02AF"/>
    <w:rsid w:val="FFD74829"/>
    <w:rsid w:val="FFDA2BDF"/>
    <w:rsid w:val="FFDFD349"/>
    <w:rsid w:val="FFE3C5F2"/>
    <w:rsid w:val="FFEF0C9E"/>
    <w:rsid w:val="FFEFD594"/>
    <w:rsid w:val="FFFDA061"/>
    <w:rsid w:val="FFFF47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99" w:name="footnote text"/>
    <w:lsdException w:uiPriority="0" w:name="annotation text"/>
    <w:lsdException w:qFormat="1"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name="footnote reference"/>
    <w:lsdException w:uiPriority="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2"/>
    <w:qFormat/>
    <w:uiPriority w:val="1"/>
    <w:pPr>
      <w:ind w:left="760"/>
      <w:outlineLvl w:val="1"/>
    </w:pPr>
    <w:rPr>
      <w:b/>
      <w:bCs/>
      <w:sz w:val="32"/>
      <w:szCs w:val="32"/>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b/>
      <w:bCs/>
      <w:sz w:val="27"/>
      <w:szCs w:val="27"/>
    </w:rPr>
  </w:style>
  <w:style w:type="paragraph" w:styleId="5">
    <w:name w:val="heading 4"/>
    <w:basedOn w:val="1"/>
    <w:next w:val="1"/>
    <w:link w:val="4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rPr>
      <w:sz w:val="32"/>
    </w:rPr>
  </w:style>
  <w:style w:type="paragraph" w:styleId="7">
    <w:name w:val="Body Text"/>
    <w:basedOn w:val="1"/>
    <w:qFormat/>
    <w:uiPriority w:val="0"/>
    <w:pPr>
      <w:spacing w:line="580" w:lineRule="exact"/>
    </w:pPr>
    <w:rPr>
      <w:rFonts w:ascii="仿宋_GB2312" w:hAnsi="宋体" w:eastAsia="仿宋_GB2312"/>
      <w:sz w:val="32"/>
      <w:szCs w:val="32"/>
    </w:rPr>
  </w:style>
  <w:style w:type="paragraph" w:styleId="8">
    <w:name w:val="Body Text Indent"/>
    <w:basedOn w:val="1"/>
    <w:next w:val="6"/>
    <w:semiHidden/>
    <w:unhideWhenUsed/>
    <w:qFormat/>
    <w:uiPriority w:val="99"/>
    <w:pPr>
      <w:spacing w:after="120"/>
      <w:ind w:left="420" w:leftChars="200"/>
    </w:pPr>
  </w:style>
  <w:style w:type="paragraph" w:styleId="9">
    <w:name w:val="toc 3"/>
    <w:basedOn w:val="1"/>
    <w:next w:val="1"/>
    <w:qFormat/>
    <w:uiPriority w:val="39"/>
    <w:pPr>
      <w:ind w:left="840" w:leftChars="400"/>
    </w:pPr>
  </w:style>
  <w:style w:type="paragraph" w:styleId="10">
    <w:name w:val="Date"/>
    <w:basedOn w:val="1"/>
    <w:next w:val="1"/>
    <w:link w:val="41"/>
    <w:qFormat/>
    <w:uiPriority w:val="0"/>
    <w:pPr>
      <w:ind w:left="100" w:leftChars="2500"/>
    </w:pPr>
  </w:style>
  <w:style w:type="paragraph" w:styleId="11">
    <w:name w:val="endnote text"/>
    <w:basedOn w:val="1"/>
    <w:qFormat/>
    <w:uiPriority w:val="0"/>
    <w:pPr>
      <w:snapToGrid w:val="0"/>
      <w:jc w:val="left"/>
    </w:pPr>
  </w:style>
  <w:style w:type="paragraph" w:styleId="12">
    <w:name w:val="Balloon Text"/>
    <w:basedOn w:val="1"/>
    <w:link w:val="43"/>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footnote text"/>
    <w:basedOn w:val="1"/>
    <w:semiHidden/>
    <w:unhideWhenUsed/>
    <w:qFormat/>
    <w:uiPriority w:val="99"/>
    <w:pPr>
      <w:snapToGrid w:val="0"/>
      <w:jc w:val="left"/>
    </w:pPr>
    <w:rPr>
      <w:sz w:val="18"/>
      <w:szCs w:val="18"/>
    </w:rPr>
  </w:style>
  <w:style w:type="paragraph" w:styleId="17">
    <w:name w:val="toc 2"/>
    <w:basedOn w:val="1"/>
    <w:next w:val="1"/>
    <w:qFormat/>
    <w:uiPriority w:val="39"/>
    <w:pPr>
      <w:ind w:left="420" w:leftChars="200"/>
    </w:pPr>
  </w:style>
  <w:style w:type="paragraph" w:styleId="18">
    <w:name w:val="Normal (Web)"/>
    <w:basedOn w:val="1"/>
    <w:next w:val="1"/>
    <w:unhideWhenUsed/>
    <w:qFormat/>
    <w:uiPriority w:val="0"/>
    <w:pPr>
      <w:widowControl/>
      <w:spacing w:before="100" w:beforeAutospacing="1" w:after="100" w:afterAutospacing="1"/>
      <w:jc w:val="left"/>
    </w:pPr>
    <w:rPr>
      <w:rFonts w:ascii="宋体" w:hAnsi="宋体" w:cs="宋体"/>
      <w:sz w:val="24"/>
    </w:rPr>
  </w:style>
  <w:style w:type="paragraph" w:styleId="19">
    <w:name w:val="Body Text First Indent 2"/>
    <w:basedOn w:val="8"/>
    <w:next w:val="1"/>
    <w:unhideWhenUsed/>
    <w:qFormat/>
    <w:uiPriority w:val="99"/>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ndnote reference"/>
    <w:basedOn w:val="22"/>
    <w:qFormat/>
    <w:uiPriority w:val="0"/>
    <w:rPr>
      <w:vertAlign w:val="superscript"/>
    </w:rPr>
  </w:style>
  <w:style w:type="character" w:styleId="25">
    <w:name w:val="page number"/>
    <w:basedOn w:val="22"/>
    <w:qFormat/>
    <w:uiPriority w:val="0"/>
  </w:style>
  <w:style w:type="character" w:styleId="26">
    <w:name w:val="Emphasis"/>
    <w:basedOn w:val="22"/>
    <w:qFormat/>
    <w:uiPriority w:val="0"/>
    <w:rPr>
      <w:i/>
    </w:rPr>
  </w:style>
  <w:style w:type="character" w:styleId="27">
    <w:name w:val="Hyperlink"/>
    <w:basedOn w:val="22"/>
    <w:qFormat/>
    <w:uiPriority w:val="99"/>
    <w:rPr>
      <w:color w:val="0000FF"/>
      <w:u w:val="single"/>
    </w:rPr>
  </w:style>
  <w:style w:type="character" w:styleId="28">
    <w:name w:val="footnote reference"/>
    <w:basedOn w:val="22"/>
    <w:semiHidden/>
    <w:unhideWhenUsed/>
    <w:qFormat/>
    <w:uiPriority w:val="99"/>
    <w:rPr>
      <w:vertAlign w:val="superscript"/>
    </w:rPr>
  </w:style>
  <w:style w:type="paragraph" w:styleId="29">
    <w:name w:val="No Spacing"/>
    <w:qFormat/>
    <w:uiPriority w:val="1"/>
    <w:rPr>
      <w:rFonts w:asciiTheme="minorHAnsi" w:hAnsiTheme="minorHAnsi" w:eastAsiaTheme="minorEastAsia" w:cstheme="minorBidi"/>
      <w:sz w:val="22"/>
      <w:szCs w:val="22"/>
      <w:lang w:val="en-US" w:eastAsia="zh-CN" w:bidi="ar-SA"/>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3">
    <w:name w:val="样式2"/>
    <w:basedOn w:val="4"/>
    <w:qFormat/>
    <w:uiPriority w:val="0"/>
    <w:pPr>
      <w:adjustRightInd w:val="0"/>
      <w:spacing w:before="0" w:beforeAutospacing="0" w:after="0" w:afterAutospacing="0" w:line="560" w:lineRule="exact"/>
      <w:ind w:firstLine="640" w:firstLineChars="200"/>
    </w:pPr>
    <w:rPr>
      <w:rFonts w:hint="default" w:ascii="楷体" w:hAnsi="楷体" w:eastAsia="楷体" w:cstheme="minorBidi"/>
      <w:b w:val="0"/>
      <w:bCs w:val="0"/>
      <w:kern w:val="2"/>
      <w:sz w:val="32"/>
      <w:szCs w:val="32"/>
    </w:rPr>
  </w:style>
  <w:style w:type="character" w:customStyle="1" w:styleId="34">
    <w:name w:val="NormalCharacter"/>
    <w:semiHidden/>
    <w:qFormat/>
    <w:uiPriority w:val="0"/>
    <w:rPr>
      <w:rFonts w:ascii="Times New Roman" w:hAnsi="Times New Roman" w:eastAsia="宋体" w:cs="Times New Roman"/>
      <w:kern w:val="2"/>
      <w:sz w:val="30"/>
      <w:lang w:val="en-US" w:eastAsia="zh-CN" w:bidi="ar-SA"/>
    </w:rPr>
  </w:style>
  <w:style w:type="paragraph" w:styleId="35">
    <w:name w:val="List Paragraph"/>
    <w:basedOn w:val="1"/>
    <w:qFormat/>
    <w:uiPriority w:val="34"/>
    <w:pPr>
      <w:ind w:firstLine="420" w:firstLineChars="200"/>
    </w:pPr>
  </w:style>
  <w:style w:type="paragraph" w:customStyle="1" w:styleId="36">
    <w:name w:val="BodyText1I2"/>
    <w:basedOn w:val="37"/>
    <w:next w:val="1"/>
    <w:qFormat/>
    <w:uiPriority w:val="0"/>
    <w:pPr>
      <w:spacing w:after="0"/>
      <w:ind w:firstLine="420" w:firstLineChars="200"/>
    </w:pPr>
    <w:rPr>
      <w:rFonts w:ascii="Calibri" w:hAnsi="Calibri"/>
    </w:rPr>
  </w:style>
  <w:style w:type="paragraph" w:customStyle="1" w:styleId="37">
    <w:name w:val="BodyTextIndent"/>
    <w:basedOn w:val="1"/>
    <w:next w:val="38"/>
    <w:qFormat/>
    <w:uiPriority w:val="0"/>
    <w:pPr>
      <w:spacing w:after="120"/>
      <w:ind w:left="420" w:leftChars="200"/>
      <w:textAlignment w:val="baseline"/>
    </w:pPr>
  </w:style>
  <w:style w:type="paragraph" w:customStyle="1" w:styleId="38">
    <w:name w:val="NormalIndent"/>
    <w:basedOn w:val="1"/>
    <w:qFormat/>
    <w:uiPriority w:val="0"/>
    <w:pPr>
      <w:ind w:firstLine="420" w:firstLineChars="200"/>
      <w:textAlignment w:val="baseline"/>
    </w:pPr>
    <w:rPr>
      <w:rFonts w:ascii="Calibri" w:hAnsi="Calibri" w:eastAsia="方正仿宋_GBK"/>
      <w:sz w:val="32"/>
    </w:rPr>
  </w:style>
  <w:style w:type="character" w:customStyle="1" w:styleId="39">
    <w:name w:val="标题 1 字符"/>
    <w:basedOn w:val="22"/>
    <w:link w:val="2"/>
    <w:qFormat/>
    <w:uiPriority w:val="0"/>
    <w:rPr>
      <w:b/>
      <w:bCs/>
      <w:kern w:val="44"/>
      <w:sz w:val="44"/>
      <w:szCs w:val="44"/>
    </w:rPr>
  </w:style>
  <w:style w:type="paragraph" w:customStyle="1" w:styleId="4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1">
    <w:name w:val="日期 字符"/>
    <w:basedOn w:val="22"/>
    <w:link w:val="10"/>
    <w:qFormat/>
    <w:uiPriority w:val="0"/>
    <w:rPr>
      <w:sz w:val="21"/>
      <w:szCs w:val="24"/>
    </w:rPr>
  </w:style>
  <w:style w:type="character" w:customStyle="1" w:styleId="42">
    <w:name w:val="标题 2 字符"/>
    <w:basedOn w:val="22"/>
    <w:link w:val="3"/>
    <w:qFormat/>
    <w:uiPriority w:val="1"/>
    <w:rPr>
      <w:b/>
      <w:bCs/>
      <w:sz w:val="32"/>
      <w:szCs w:val="32"/>
    </w:rPr>
  </w:style>
  <w:style w:type="character" w:customStyle="1" w:styleId="43">
    <w:name w:val="批注框文本 字符"/>
    <w:basedOn w:val="22"/>
    <w:link w:val="12"/>
    <w:qFormat/>
    <w:uiPriority w:val="0"/>
    <w:rPr>
      <w:sz w:val="18"/>
      <w:szCs w:val="18"/>
    </w:rPr>
  </w:style>
  <w:style w:type="character" w:customStyle="1" w:styleId="44">
    <w:name w:val="tpc_content1"/>
    <w:qFormat/>
    <w:uiPriority w:val="0"/>
    <w:rPr>
      <w:sz w:val="26"/>
      <w:szCs w:val="26"/>
    </w:rPr>
  </w:style>
  <w:style w:type="character" w:customStyle="1" w:styleId="45">
    <w:name w:val="标题 4 字符"/>
    <w:basedOn w:val="22"/>
    <w:link w:val="5"/>
    <w:qFormat/>
    <w:uiPriority w:val="0"/>
    <w:rPr>
      <w:rFonts w:asciiTheme="majorHAnsi" w:hAnsiTheme="majorHAnsi" w:eastAsiaTheme="majorEastAsia" w:cstheme="majorBidi"/>
      <w:b/>
      <w:bCs/>
      <w:sz w:val="28"/>
      <w:szCs w:val="28"/>
    </w:rPr>
  </w:style>
  <w:style w:type="paragraph" w:customStyle="1" w:styleId="46">
    <w:name w:val="正文-公1"/>
    <w:basedOn w:val="1"/>
    <w:next w:val="1"/>
    <w:qFormat/>
    <w:uiPriority w:val="0"/>
    <w:pPr>
      <w:ind w:firstLine="200" w:firstLineChars="200"/>
      <w:jc w:val="left"/>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10131</Words>
  <Characters>10465</Characters>
  <Lines>95</Lines>
  <Paragraphs>26</Paragraphs>
  <TotalTime>3</TotalTime>
  <ScaleCrop>false</ScaleCrop>
  <LinksUpToDate>false</LinksUpToDate>
  <CharactersWithSpaces>10511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2014-11-06T12:08:00Z</dcterms:created>
  <dc:creator>lenovo</dc:creator>
  <cp:lastModifiedBy>彤彬</cp:lastModifiedBy>
  <cp:lastPrinted>2024-10-17T18:39:00Z</cp:lastPrinted>
  <dcterms:modified xsi:type="dcterms:W3CDTF">2024-11-15T03:12:00Z</dcterms:modified>
  <cp:revision>378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C067EAC17E09479B84F6A0DAA55E8D4F_13</vt:lpwstr>
  </property>
</Properties>
</file>