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947516">
      <w:pPr>
        <w:widowControl w:val="0"/>
        <w:autoSpaceDE w:val="0"/>
        <w:autoSpaceDN w:val="0"/>
        <w:snapToGrid/>
        <w:spacing w:after="0" w:line="440" w:lineRule="exact"/>
        <w:jc w:val="center"/>
        <w:rPr>
          <w:rFonts w:ascii="方正小标宋简体" w:eastAsia="方正小标宋简体" w:cs="FZXBSJW--GB1-0" w:hAnsiTheme="minorHAnsi"/>
          <w:sz w:val="44"/>
          <w:szCs w:val="44"/>
        </w:rPr>
      </w:pPr>
      <w:r>
        <w:rPr>
          <w:rFonts w:hint="eastAsia" w:ascii="方正小标宋简体" w:eastAsia="方正小标宋简体" w:cs="FZXBSJW--GB1-0" w:hAnsiTheme="minorHAnsi"/>
          <w:sz w:val="44"/>
          <w:szCs w:val="44"/>
        </w:rPr>
        <w:t>重大行政执法决定法制审核目录清单</w:t>
      </w:r>
    </w:p>
    <w:p w14:paraId="7543E3D3">
      <w:pPr>
        <w:widowControl w:val="0"/>
        <w:autoSpaceDE w:val="0"/>
        <w:autoSpaceDN w:val="0"/>
        <w:snapToGrid/>
        <w:spacing w:after="0" w:line="440" w:lineRule="exact"/>
        <w:jc w:val="center"/>
        <w:rPr>
          <w:rFonts w:ascii="方正小标宋简体" w:eastAsia="方正小标宋简体" w:cs="FZXBSJW--GB1-0" w:hAnsiTheme="minorHAnsi"/>
          <w:sz w:val="44"/>
          <w:szCs w:val="44"/>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0"/>
        <w:gridCol w:w="1063"/>
        <w:gridCol w:w="1078"/>
        <w:gridCol w:w="1063"/>
        <w:gridCol w:w="2610"/>
        <w:gridCol w:w="1078"/>
        <w:gridCol w:w="1063"/>
        <w:gridCol w:w="1481"/>
        <w:gridCol w:w="2118"/>
        <w:gridCol w:w="1108"/>
      </w:tblGrid>
      <w:tr w14:paraId="0CFAC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675" w:type="dxa"/>
          </w:tcPr>
          <w:p w14:paraId="0EC1D865">
            <w:pPr>
              <w:widowControl w:val="0"/>
              <w:autoSpaceDE w:val="0"/>
              <w:autoSpaceDN w:val="0"/>
              <w:snapToGrid/>
              <w:spacing w:after="0" w:line="500" w:lineRule="exact"/>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序号</w:t>
            </w:r>
          </w:p>
        </w:tc>
        <w:tc>
          <w:tcPr>
            <w:tcW w:w="1134" w:type="dxa"/>
          </w:tcPr>
          <w:p w14:paraId="4F2C980A">
            <w:pPr>
              <w:widowControl w:val="0"/>
              <w:autoSpaceDE w:val="0"/>
              <w:autoSpaceDN w:val="0"/>
              <w:snapToGrid/>
              <w:spacing w:after="0" w:line="500" w:lineRule="exact"/>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执法类别</w:t>
            </w:r>
          </w:p>
        </w:tc>
        <w:tc>
          <w:tcPr>
            <w:tcW w:w="1134" w:type="dxa"/>
            <w:vAlign w:val="center"/>
          </w:tcPr>
          <w:p w14:paraId="5588A19D">
            <w:pPr>
              <w:widowControl w:val="0"/>
              <w:autoSpaceDE w:val="0"/>
              <w:autoSpaceDN w:val="0"/>
              <w:snapToGrid/>
              <w:spacing w:after="0" w:line="500" w:lineRule="exact"/>
              <w:jc w:val="center"/>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审核项目</w:t>
            </w:r>
          </w:p>
        </w:tc>
        <w:tc>
          <w:tcPr>
            <w:tcW w:w="1134" w:type="dxa"/>
            <w:vAlign w:val="center"/>
          </w:tcPr>
          <w:p w14:paraId="6659C7D9">
            <w:pPr>
              <w:widowControl w:val="0"/>
              <w:autoSpaceDE w:val="0"/>
              <w:autoSpaceDN w:val="0"/>
              <w:snapToGrid/>
              <w:spacing w:after="0" w:line="500" w:lineRule="exact"/>
              <w:jc w:val="center"/>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承办机构</w:t>
            </w:r>
          </w:p>
        </w:tc>
        <w:tc>
          <w:tcPr>
            <w:tcW w:w="2835" w:type="dxa"/>
            <w:vAlign w:val="center"/>
          </w:tcPr>
          <w:p w14:paraId="4915388C">
            <w:pPr>
              <w:widowControl w:val="0"/>
              <w:autoSpaceDE w:val="0"/>
              <w:autoSpaceDN w:val="0"/>
              <w:snapToGrid/>
              <w:spacing w:after="0" w:line="500" w:lineRule="exact"/>
              <w:jc w:val="center"/>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审核条件</w:t>
            </w:r>
          </w:p>
        </w:tc>
        <w:tc>
          <w:tcPr>
            <w:tcW w:w="1134" w:type="dxa"/>
            <w:vAlign w:val="center"/>
          </w:tcPr>
          <w:p w14:paraId="17DA19D0">
            <w:pPr>
              <w:widowControl w:val="0"/>
              <w:autoSpaceDE w:val="0"/>
              <w:autoSpaceDN w:val="0"/>
              <w:snapToGrid/>
              <w:spacing w:after="0" w:line="500" w:lineRule="exact"/>
              <w:jc w:val="center"/>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审核依据</w:t>
            </w:r>
          </w:p>
        </w:tc>
        <w:tc>
          <w:tcPr>
            <w:tcW w:w="1134" w:type="dxa"/>
            <w:vAlign w:val="center"/>
          </w:tcPr>
          <w:p w14:paraId="35410F09">
            <w:pPr>
              <w:widowControl w:val="0"/>
              <w:autoSpaceDE w:val="0"/>
              <w:autoSpaceDN w:val="0"/>
              <w:snapToGrid/>
              <w:spacing w:after="0" w:line="500" w:lineRule="exact"/>
              <w:jc w:val="center"/>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审核机构</w:t>
            </w:r>
          </w:p>
        </w:tc>
        <w:tc>
          <w:tcPr>
            <w:tcW w:w="1560" w:type="dxa"/>
            <w:vAlign w:val="center"/>
          </w:tcPr>
          <w:p w14:paraId="0061BC7F">
            <w:pPr>
              <w:widowControl w:val="0"/>
              <w:autoSpaceDE w:val="0"/>
              <w:autoSpaceDN w:val="0"/>
              <w:snapToGrid/>
              <w:spacing w:after="0" w:line="500" w:lineRule="exact"/>
              <w:jc w:val="center"/>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提交审核材料</w:t>
            </w:r>
          </w:p>
        </w:tc>
        <w:tc>
          <w:tcPr>
            <w:tcW w:w="2268" w:type="dxa"/>
            <w:vAlign w:val="center"/>
          </w:tcPr>
          <w:p w14:paraId="7F2B6BC1">
            <w:pPr>
              <w:widowControl w:val="0"/>
              <w:autoSpaceDE w:val="0"/>
              <w:autoSpaceDN w:val="0"/>
              <w:snapToGrid/>
              <w:spacing w:after="0" w:line="500" w:lineRule="exact"/>
              <w:jc w:val="center"/>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审核重点</w:t>
            </w:r>
          </w:p>
        </w:tc>
        <w:tc>
          <w:tcPr>
            <w:tcW w:w="1166" w:type="dxa"/>
            <w:vAlign w:val="center"/>
          </w:tcPr>
          <w:p w14:paraId="28F9361E">
            <w:pPr>
              <w:widowControl w:val="0"/>
              <w:autoSpaceDE w:val="0"/>
              <w:autoSpaceDN w:val="0"/>
              <w:snapToGrid/>
              <w:spacing w:after="0" w:line="500" w:lineRule="exact"/>
              <w:jc w:val="center"/>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审核期限</w:t>
            </w:r>
          </w:p>
        </w:tc>
      </w:tr>
      <w:tr w14:paraId="37409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restart"/>
            <w:vAlign w:val="center"/>
          </w:tcPr>
          <w:p w14:paraId="57BF5E20">
            <w:pPr>
              <w:widowControl w:val="0"/>
              <w:autoSpaceDE w:val="0"/>
              <w:autoSpaceDN w:val="0"/>
              <w:snapToGrid/>
              <w:spacing w:after="0"/>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1</w:t>
            </w:r>
          </w:p>
        </w:tc>
        <w:tc>
          <w:tcPr>
            <w:tcW w:w="1134" w:type="dxa"/>
            <w:vMerge w:val="restart"/>
            <w:vAlign w:val="center"/>
          </w:tcPr>
          <w:p w14:paraId="47E3960E">
            <w:pPr>
              <w:widowControl w:val="0"/>
              <w:autoSpaceDE w:val="0"/>
              <w:autoSpaceDN w:val="0"/>
              <w:snapToGrid/>
              <w:spacing w:after="0"/>
              <w:jc w:val="center"/>
              <w:rPr>
                <w:rFonts w:hint="eastAsia" w:cs="仿宋_GB2312" w:asciiTheme="minorEastAsia" w:hAnsiTheme="minorEastAsia" w:eastAsiaTheme="minorEastAsia"/>
                <w:sz w:val="18"/>
                <w:szCs w:val="18"/>
                <w:lang w:eastAsia="zh-CN"/>
              </w:rPr>
            </w:pPr>
            <w:r>
              <w:rPr>
                <w:rFonts w:hint="eastAsia" w:cs="仿宋_GB2312" w:asciiTheme="minorEastAsia" w:hAnsiTheme="minorEastAsia" w:eastAsiaTheme="minorEastAsia"/>
                <w:sz w:val="18"/>
                <w:szCs w:val="18"/>
                <w:lang w:eastAsia="zh-CN"/>
              </w:rPr>
              <w:t>交通运输</w:t>
            </w:r>
            <w:r>
              <w:rPr>
                <w:rFonts w:hint="eastAsia" w:cs="仿宋_GB2312" w:asciiTheme="minorEastAsia" w:hAnsiTheme="minorEastAsia" w:eastAsiaTheme="minorEastAsia"/>
                <w:sz w:val="18"/>
                <w:szCs w:val="18"/>
              </w:rPr>
              <w:t>行政处罚</w:t>
            </w:r>
            <w:r>
              <w:rPr>
                <w:rFonts w:hint="eastAsia" w:cs="仿宋_GB2312" w:asciiTheme="minorEastAsia" w:hAnsiTheme="minorEastAsia" w:eastAsiaTheme="minorEastAsia"/>
                <w:sz w:val="18"/>
                <w:szCs w:val="18"/>
                <w:lang w:eastAsia="zh-CN"/>
              </w:rPr>
              <w:t>类</w:t>
            </w:r>
          </w:p>
        </w:tc>
        <w:tc>
          <w:tcPr>
            <w:tcW w:w="1134" w:type="dxa"/>
            <w:vMerge w:val="restart"/>
            <w:vAlign w:val="center"/>
          </w:tcPr>
          <w:p w14:paraId="1D1E1ACD">
            <w:pPr>
              <w:widowControl w:val="0"/>
              <w:autoSpaceDE w:val="0"/>
              <w:autoSpaceDN w:val="0"/>
              <w:snapToGrid/>
              <w:spacing w:after="0"/>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适用一般程序作出的行政处罚决定</w:t>
            </w:r>
          </w:p>
        </w:tc>
        <w:tc>
          <w:tcPr>
            <w:tcW w:w="1134" w:type="dxa"/>
            <w:vMerge w:val="restart"/>
            <w:vAlign w:val="center"/>
          </w:tcPr>
          <w:p w14:paraId="2A27044A">
            <w:pPr>
              <w:widowControl w:val="0"/>
              <w:autoSpaceDE w:val="0"/>
              <w:autoSpaceDN w:val="0"/>
              <w:snapToGrid/>
              <w:spacing w:after="0"/>
              <w:jc w:val="center"/>
              <w:rPr>
                <w:rFonts w:hint="eastAsia" w:cs="仿宋_GB2312" w:asciiTheme="minorEastAsia" w:hAnsiTheme="minorEastAsia" w:eastAsiaTheme="minorEastAsia"/>
                <w:sz w:val="18"/>
                <w:szCs w:val="18"/>
                <w:lang w:eastAsia="zh-CN"/>
              </w:rPr>
            </w:pPr>
            <w:r>
              <w:rPr>
                <w:rFonts w:hint="eastAsia" w:cs="仿宋_GB2312" w:asciiTheme="minorEastAsia" w:hAnsiTheme="minorEastAsia" w:eastAsiaTheme="minorEastAsia"/>
                <w:sz w:val="18"/>
                <w:szCs w:val="18"/>
                <w:lang w:eastAsia="zh-CN"/>
              </w:rPr>
              <w:t>交通运输综合行政执法队</w:t>
            </w:r>
          </w:p>
        </w:tc>
        <w:tc>
          <w:tcPr>
            <w:tcW w:w="2835" w:type="dxa"/>
            <w:vAlign w:val="center"/>
          </w:tcPr>
          <w:p w14:paraId="07E1F393">
            <w:pPr>
              <w:widowControl w:val="0"/>
              <w:autoSpaceDE w:val="0"/>
              <w:autoSpaceDN w:val="0"/>
              <w:snapToGrid/>
              <w:spacing w:after="0"/>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拟对公民、法人或者其他组织处以5000元以上较大数额罚款的</w:t>
            </w:r>
          </w:p>
        </w:tc>
        <w:tc>
          <w:tcPr>
            <w:tcW w:w="1134" w:type="dxa"/>
            <w:vAlign w:val="center"/>
          </w:tcPr>
          <w:p w14:paraId="1627EAF2">
            <w:pPr>
              <w:widowControl w:val="0"/>
              <w:autoSpaceDE w:val="0"/>
              <w:autoSpaceDN w:val="0"/>
              <w:snapToGrid/>
              <w:spacing w:after="0"/>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《中华人民共和国</w:t>
            </w:r>
            <w:r>
              <w:rPr>
                <w:rFonts w:hint="eastAsia" w:cs="仿宋_GB2312" w:asciiTheme="minorEastAsia" w:hAnsiTheme="minorEastAsia" w:eastAsiaTheme="minorEastAsia"/>
                <w:sz w:val="18"/>
                <w:szCs w:val="18"/>
                <w:lang w:eastAsia="zh-CN"/>
              </w:rPr>
              <w:t>行政处罚</w:t>
            </w:r>
            <w:r>
              <w:rPr>
                <w:rFonts w:hint="eastAsia" w:cs="仿宋_GB2312" w:asciiTheme="minorEastAsia" w:hAnsiTheme="minorEastAsia" w:eastAsiaTheme="minorEastAsia"/>
                <w:sz w:val="18"/>
                <w:szCs w:val="18"/>
              </w:rPr>
              <w:t>法》</w:t>
            </w:r>
            <w:r>
              <w:rPr>
                <w:rFonts w:hint="eastAsia" w:cs="仿宋_GB2312" w:asciiTheme="minorEastAsia" w:hAnsiTheme="minorEastAsia" w:eastAsiaTheme="minorEastAsia"/>
                <w:sz w:val="18"/>
                <w:szCs w:val="18"/>
                <w:lang w:eastAsia="zh-CN"/>
              </w:rPr>
              <w:t>第三十四条；</w:t>
            </w:r>
            <w:r>
              <w:rPr>
                <w:rFonts w:hint="eastAsia" w:cs="仿宋_GB2312" w:asciiTheme="minorEastAsia" w:hAnsiTheme="minorEastAsia" w:eastAsiaTheme="minorEastAsia"/>
                <w:sz w:val="18"/>
                <w:szCs w:val="18"/>
              </w:rPr>
              <w:t>《山西省行政执法自由裁量基准制度》</w:t>
            </w:r>
          </w:p>
        </w:tc>
        <w:tc>
          <w:tcPr>
            <w:tcW w:w="1134" w:type="dxa"/>
            <w:vMerge w:val="restart"/>
            <w:vAlign w:val="center"/>
          </w:tcPr>
          <w:p w14:paraId="1134CF26">
            <w:pPr>
              <w:widowControl w:val="0"/>
              <w:autoSpaceDE w:val="0"/>
              <w:autoSpaceDN w:val="0"/>
              <w:snapToGrid/>
              <w:spacing w:after="0"/>
              <w:jc w:val="center"/>
              <w:rPr>
                <w:rFonts w:hint="eastAsia" w:cs="仿宋_GB2312" w:asciiTheme="minorEastAsia" w:hAnsiTheme="minorEastAsia" w:eastAsiaTheme="minorEastAsia"/>
                <w:sz w:val="18"/>
                <w:szCs w:val="18"/>
                <w:lang w:eastAsia="zh-CN"/>
              </w:rPr>
            </w:pPr>
            <w:r>
              <w:rPr>
                <w:rFonts w:hint="eastAsia" w:cs="仿宋_GB2312" w:asciiTheme="minorEastAsia" w:hAnsiTheme="minorEastAsia" w:eastAsiaTheme="minorEastAsia"/>
                <w:sz w:val="18"/>
                <w:szCs w:val="18"/>
                <w:lang w:eastAsia="zh-CN"/>
              </w:rPr>
              <w:t>交通运输局法规股</w:t>
            </w:r>
          </w:p>
        </w:tc>
        <w:tc>
          <w:tcPr>
            <w:tcW w:w="1560" w:type="dxa"/>
            <w:vMerge w:val="restart"/>
            <w:vAlign w:val="center"/>
          </w:tcPr>
          <w:p w14:paraId="785BBC9E">
            <w:pPr>
              <w:shd w:val="clear" w:color="auto" w:fill="FFFFFF"/>
              <w:spacing w:after="0"/>
              <w:jc w:val="center"/>
              <w:textAlignment w:val="baseline"/>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现场笔录、询问笔录、勘验笔录举报笔录等；视听资料等证据资料；行政强制措施决定书、证据保存清单等；法律依据；听证笔录、评估报告；陈述申辩书等；</w:t>
            </w:r>
          </w:p>
          <w:p w14:paraId="2A6E17AC">
            <w:pPr>
              <w:shd w:val="clear" w:color="auto" w:fill="FFFFFF"/>
              <w:spacing w:after="0"/>
              <w:jc w:val="center"/>
              <w:textAlignment w:val="baseline"/>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其他需要提交的材料。</w:t>
            </w:r>
          </w:p>
          <w:p w14:paraId="5280EF27">
            <w:pPr>
              <w:widowControl w:val="0"/>
              <w:autoSpaceDE w:val="0"/>
              <w:autoSpaceDN w:val="0"/>
              <w:snapToGrid/>
              <w:spacing w:after="0"/>
              <w:jc w:val="center"/>
              <w:rPr>
                <w:rFonts w:cs="仿宋_GB2312" w:asciiTheme="minorEastAsia" w:hAnsiTheme="minorEastAsia" w:eastAsiaTheme="minorEastAsia"/>
                <w:sz w:val="18"/>
                <w:szCs w:val="18"/>
              </w:rPr>
            </w:pPr>
          </w:p>
        </w:tc>
        <w:tc>
          <w:tcPr>
            <w:tcW w:w="2268" w:type="dxa"/>
            <w:vAlign w:val="center"/>
          </w:tcPr>
          <w:p w14:paraId="3B40A59D">
            <w:pPr>
              <w:widowControl w:val="0"/>
              <w:autoSpaceDE w:val="0"/>
              <w:autoSpaceDN w:val="0"/>
              <w:snapToGrid/>
              <w:spacing w:after="0"/>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1.执法主体是否合法，执法人员是否具备执法资格；2.主要事实是否清楚，证据是否确凿、充分；3.适用法律、法规、规章是否准确；</w:t>
            </w:r>
            <w:r>
              <w:rPr>
                <w:rFonts w:hint="eastAsia" w:cs="仿宋_GB2312" w:asciiTheme="minorEastAsia" w:hAnsiTheme="minorEastAsia" w:eastAsiaTheme="minorEastAsia"/>
                <w:sz w:val="18"/>
                <w:szCs w:val="18"/>
                <w:lang w:eastAsia="zh-CN"/>
              </w:rPr>
              <w:t>处</w:t>
            </w:r>
            <w:r>
              <w:rPr>
                <w:rFonts w:hint="eastAsia" w:cs="仿宋_GB2312" w:asciiTheme="minorEastAsia" w:hAnsiTheme="minorEastAsia" w:eastAsiaTheme="minorEastAsia"/>
                <w:sz w:val="18"/>
                <w:szCs w:val="18"/>
              </w:rPr>
              <w:t>罚执行裁量基准是否适当；4.程序是否合法，是否充分保障行政相对人权利；</w:t>
            </w:r>
          </w:p>
        </w:tc>
        <w:tc>
          <w:tcPr>
            <w:tcW w:w="1166" w:type="dxa"/>
            <w:vMerge w:val="restart"/>
            <w:vAlign w:val="center"/>
          </w:tcPr>
          <w:p w14:paraId="3A319BE5">
            <w:pPr>
              <w:widowControl w:val="0"/>
              <w:autoSpaceDE w:val="0"/>
              <w:autoSpaceDN w:val="0"/>
              <w:snapToGrid/>
              <w:spacing w:after="0"/>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7个工作日（案件复杂或因特殊情况的，经</w:t>
            </w:r>
            <w:r>
              <w:rPr>
                <w:rFonts w:hint="eastAsia" w:cs="仿宋_GB2312" w:asciiTheme="minorEastAsia" w:hAnsiTheme="minorEastAsia" w:eastAsiaTheme="minorEastAsia"/>
                <w:sz w:val="18"/>
                <w:szCs w:val="18"/>
                <w:lang w:eastAsia="zh-CN"/>
              </w:rPr>
              <w:t>局主要</w:t>
            </w:r>
            <w:r>
              <w:rPr>
                <w:rFonts w:hint="eastAsia" w:cs="仿宋_GB2312" w:asciiTheme="minorEastAsia" w:hAnsiTheme="minorEastAsia" w:eastAsiaTheme="minorEastAsia"/>
                <w:sz w:val="18"/>
                <w:szCs w:val="18"/>
              </w:rPr>
              <w:t>负责人批准，可延长5个工作日）</w:t>
            </w:r>
          </w:p>
        </w:tc>
      </w:tr>
      <w:tr w14:paraId="6A3C2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vAlign w:val="center"/>
          </w:tcPr>
          <w:p w14:paraId="5AD57686">
            <w:pPr>
              <w:widowControl w:val="0"/>
              <w:autoSpaceDE w:val="0"/>
              <w:autoSpaceDN w:val="0"/>
              <w:snapToGrid/>
              <w:spacing w:after="0"/>
              <w:jc w:val="center"/>
              <w:rPr>
                <w:rFonts w:cs="仿宋_GB2312" w:asciiTheme="minorEastAsia" w:hAnsiTheme="minorEastAsia" w:eastAsiaTheme="minorEastAsia"/>
                <w:sz w:val="18"/>
                <w:szCs w:val="18"/>
              </w:rPr>
            </w:pPr>
          </w:p>
        </w:tc>
        <w:tc>
          <w:tcPr>
            <w:tcW w:w="1134" w:type="dxa"/>
            <w:vMerge w:val="continue"/>
            <w:vAlign w:val="center"/>
          </w:tcPr>
          <w:p w14:paraId="0DCB4B70">
            <w:pPr>
              <w:widowControl w:val="0"/>
              <w:autoSpaceDE w:val="0"/>
              <w:autoSpaceDN w:val="0"/>
              <w:snapToGrid/>
              <w:spacing w:after="0"/>
              <w:jc w:val="center"/>
              <w:rPr>
                <w:rFonts w:cs="仿宋_GB2312" w:asciiTheme="minorEastAsia" w:hAnsiTheme="minorEastAsia" w:eastAsiaTheme="minorEastAsia"/>
                <w:sz w:val="18"/>
                <w:szCs w:val="18"/>
              </w:rPr>
            </w:pPr>
          </w:p>
        </w:tc>
        <w:tc>
          <w:tcPr>
            <w:tcW w:w="1134" w:type="dxa"/>
            <w:vMerge w:val="continue"/>
            <w:vAlign w:val="center"/>
          </w:tcPr>
          <w:p w14:paraId="1C785C7E">
            <w:pPr>
              <w:widowControl w:val="0"/>
              <w:autoSpaceDE w:val="0"/>
              <w:autoSpaceDN w:val="0"/>
              <w:snapToGrid/>
              <w:spacing w:after="0"/>
              <w:jc w:val="center"/>
              <w:rPr>
                <w:rFonts w:cs="仿宋_GB2312" w:asciiTheme="minorEastAsia" w:hAnsiTheme="minorEastAsia" w:eastAsiaTheme="minorEastAsia"/>
                <w:sz w:val="18"/>
                <w:szCs w:val="18"/>
              </w:rPr>
            </w:pPr>
          </w:p>
        </w:tc>
        <w:tc>
          <w:tcPr>
            <w:tcW w:w="1134" w:type="dxa"/>
            <w:vMerge w:val="continue"/>
            <w:vAlign w:val="center"/>
          </w:tcPr>
          <w:p w14:paraId="42B0CBB1">
            <w:pPr>
              <w:widowControl w:val="0"/>
              <w:autoSpaceDE w:val="0"/>
              <w:autoSpaceDN w:val="0"/>
              <w:snapToGrid/>
              <w:spacing w:after="0"/>
              <w:jc w:val="center"/>
              <w:rPr>
                <w:rFonts w:cs="仿宋_GB2312" w:asciiTheme="minorEastAsia" w:hAnsiTheme="minorEastAsia" w:eastAsiaTheme="minorEastAsia"/>
                <w:sz w:val="18"/>
                <w:szCs w:val="18"/>
              </w:rPr>
            </w:pPr>
          </w:p>
        </w:tc>
        <w:tc>
          <w:tcPr>
            <w:tcW w:w="2835" w:type="dxa"/>
            <w:vAlign w:val="center"/>
          </w:tcPr>
          <w:p w14:paraId="54CCF9F3">
            <w:pPr>
              <w:widowControl w:val="0"/>
              <w:autoSpaceDE w:val="0"/>
              <w:autoSpaceDN w:val="0"/>
              <w:snapToGrid/>
              <w:spacing w:after="0"/>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拟做出减轻处罚或按照情节需要加重处罚的决定</w:t>
            </w:r>
          </w:p>
        </w:tc>
        <w:tc>
          <w:tcPr>
            <w:tcW w:w="1134" w:type="dxa"/>
            <w:vAlign w:val="center"/>
          </w:tcPr>
          <w:p w14:paraId="529C0D1F">
            <w:pPr>
              <w:widowControl w:val="0"/>
              <w:autoSpaceDE w:val="0"/>
              <w:autoSpaceDN w:val="0"/>
              <w:snapToGrid/>
              <w:spacing w:after="0"/>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《中华人民共和国行政处罚法》第</w:t>
            </w:r>
            <w:r>
              <w:rPr>
                <w:rFonts w:hint="eastAsia" w:cs="仿宋_GB2312" w:asciiTheme="minorEastAsia" w:hAnsiTheme="minorEastAsia" w:eastAsiaTheme="minorEastAsia"/>
                <w:sz w:val="18"/>
                <w:szCs w:val="18"/>
                <w:lang w:eastAsia="zh-CN"/>
              </w:rPr>
              <w:t>三十二条；第五</w:t>
            </w:r>
            <w:r>
              <w:rPr>
                <w:rFonts w:hint="eastAsia" w:cs="仿宋_GB2312" w:asciiTheme="minorEastAsia" w:hAnsiTheme="minorEastAsia" w:eastAsiaTheme="minorEastAsia"/>
                <w:sz w:val="18"/>
                <w:szCs w:val="18"/>
              </w:rPr>
              <w:t>十</w:t>
            </w:r>
            <w:r>
              <w:rPr>
                <w:rFonts w:hint="eastAsia" w:cs="仿宋_GB2312" w:asciiTheme="minorEastAsia" w:hAnsiTheme="minorEastAsia" w:eastAsiaTheme="minorEastAsia"/>
                <w:sz w:val="18"/>
                <w:szCs w:val="18"/>
                <w:lang w:eastAsia="zh-CN"/>
              </w:rPr>
              <w:t>条</w:t>
            </w:r>
            <w:r>
              <w:rPr>
                <w:rFonts w:hint="eastAsia" w:cs="仿宋_GB2312" w:asciiTheme="minorEastAsia" w:hAnsiTheme="minorEastAsia" w:eastAsiaTheme="minorEastAsia"/>
                <w:sz w:val="18"/>
                <w:szCs w:val="18"/>
              </w:rPr>
              <w:t>条</w:t>
            </w:r>
          </w:p>
        </w:tc>
        <w:tc>
          <w:tcPr>
            <w:tcW w:w="1134" w:type="dxa"/>
            <w:vMerge w:val="continue"/>
            <w:vAlign w:val="center"/>
          </w:tcPr>
          <w:p w14:paraId="28131A33">
            <w:pPr>
              <w:widowControl w:val="0"/>
              <w:autoSpaceDE w:val="0"/>
              <w:autoSpaceDN w:val="0"/>
              <w:snapToGrid/>
              <w:spacing w:after="0"/>
              <w:jc w:val="center"/>
              <w:rPr>
                <w:rFonts w:cs="仿宋_GB2312" w:asciiTheme="minorEastAsia" w:hAnsiTheme="minorEastAsia" w:eastAsiaTheme="minorEastAsia"/>
                <w:sz w:val="18"/>
                <w:szCs w:val="18"/>
              </w:rPr>
            </w:pPr>
          </w:p>
        </w:tc>
        <w:tc>
          <w:tcPr>
            <w:tcW w:w="1560" w:type="dxa"/>
            <w:vMerge w:val="continue"/>
            <w:vAlign w:val="center"/>
          </w:tcPr>
          <w:p w14:paraId="472A212E">
            <w:pPr>
              <w:widowControl w:val="0"/>
              <w:autoSpaceDE w:val="0"/>
              <w:autoSpaceDN w:val="0"/>
              <w:snapToGrid/>
              <w:spacing w:after="0"/>
              <w:jc w:val="center"/>
              <w:rPr>
                <w:rFonts w:cs="仿宋_GB2312" w:asciiTheme="minorEastAsia" w:hAnsiTheme="minorEastAsia" w:eastAsiaTheme="minorEastAsia"/>
                <w:sz w:val="18"/>
                <w:szCs w:val="18"/>
              </w:rPr>
            </w:pPr>
          </w:p>
        </w:tc>
        <w:tc>
          <w:tcPr>
            <w:tcW w:w="2268" w:type="dxa"/>
            <w:vAlign w:val="center"/>
          </w:tcPr>
          <w:p w14:paraId="56DF2A42">
            <w:pPr>
              <w:widowControl w:val="0"/>
              <w:autoSpaceDE w:val="0"/>
              <w:autoSpaceDN w:val="0"/>
              <w:snapToGrid/>
              <w:spacing w:after="0"/>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1.有无构成依法从轻或者减轻行政处罚的法律要件；2.需要作出具体规定的，必须在法律规定的给予行政处罚的行为、种类和幅度的范围内；</w:t>
            </w:r>
          </w:p>
        </w:tc>
        <w:tc>
          <w:tcPr>
            <w:tcW w:w="1166" w:type="dxa"/>
            <w:vMerge w:val="continue"/>
            <w:vAlign w:val="center"/>
          </w:tcPr>
          <w:p w14:paraId="19185C2E">
            <w:pPr>
              <w:widowControl w:val="0"/>
              <w:autoSpaceDE w:val="0"/>
              <w:autoSpaceDN w:val="0"/>
              <w:snapToGrid/>
              <w:spacing w:after="0"/>
              <w:jc w:val="center"/>
              <w:rPr>
                <w:rFonts w:cs="仿宋_GB2312" w:asciiTheme="minorEastAsia" w:hAnsiTheme="minorEastAsia" w:eastAsiaTheme="minorEastAsia"/>
                <w:sz w:val="18"/>
                <w:szCs w:val="18"/>
              </w:rPr>
            </w:pPr>
          </w:p>
        </w:tc>
      </w:tr>
      <w:tr w14:paraId="6AE47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restart"/>
            <w:vAlign w:val="center"/>
          </w:tcPr>
          <w:p w14:paraId="01E7D509">
            <w:pPr>
              <w:widowControl w:val="0"/>
              <w:autoSpaceDE w:val="0"/>
              <w:autoSpaceDN w:val="0"/>
              <w:snapToGrid/>
              <w:spacing w:after="0"/>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2</w:t>
            </w:r>
          </w:p>
        </w:tc>
        <w:tc>
          <w:tcPr>
            <w:tcW w:w="1134" w:type="dxa"/>
            <w:vMerge w:val="restart"/>
            <w:vAlign w:val="center"/>
          </w:tcPr>
          <w:p w14:paraId="716652BE">
            <w:pPr>
              <w:widowControl w:val="0"/>
              <w:autoSpaceDE w:val="0"/>
              <w:autoSpaceDN w:val="0"/>
              <w:snapToGrid/>
              <w:spacing w:after="0"/>
              <w:jc w:val="center"/>
              <w:rPr>
                <w:rFonts w:hint="eastAsia" w:cs="仿宋_GB2312" w:asciiTheme="minorEastAsia" w:hAnsiTheme="minorEastAsia" w:eastAsiaTheme="minorEastAsia"/>
                <w:sz w:val="18"/>
                <w:szCs w:val="18"/>
                <w:lang w:eastAsia="zh-CN"/>
              </w:rPr>
            </w:pPr>
            <w:r>
              <w:rPr>
                <w:rFonts w:hint="eastAsia" w:cs="仿宋_GB2312" w:asciiTheme="minorEastAsia" w:hAnsiTheme="minorEastAsia" w:eastAsiaTheme="minorEastAsia"/>
                <w:sz w:val="18"/>
                <w:szCs w:val="18"/>
                <w:lang w:eastAsia="zh-CN"/>
              </w:rPr>
              <w:t>交通运输</w:t>
            </w:r>
            <w:r>
              <w:rPr>
                <w:rFonts w:hint="eastAsia" w:cs="仿宋_GB2312" w:asciiTheme="minorEastAsia" w:hAnsiTheme="minorEastAsia" w:eastAsiaTheme="minorEastAsia"/>
                <w:sz w:val="18"/>
                <w:szCs w:val="18"/>
              </w:rPr>
              <w:t>行政强制</w:t>
            </w:r>
            <w:r>
              <w:rPr>
                <w:rFonts w:hint="eastAsia" w:cs="仿宋_GB2312" w:asciiTheme="minorEastAsia" w:hAnsiTheme="minorEastAsia" w:eastAsiaTheme="minorEastAsia"/>
                <w:sz w:val="18"/>
                <w:szCs w:val="18"/>
                <w:lang w:eastAsia="zh-CN"/>
              </w:rPr>
              <w:t>类</w:t>
            </w:r>
          </w:p>
        </w:tc>
        <w:tc>
          <w:tcPr>
            <w:tcW w:w="1134" w:type="dxa"/>
            <w:vMerge w:val="restart"/>
            <w:vAlign w:val="center"/>
          </w:tcPr>
          <w:p w14:paraId="235D1092">
            <w:pPr>
              <w:widowControl w:val="0"/>
              <w:autoSpaceDE w:val="0"/>
              <w:autoSpaceDN w:val="0"/>
              <w:snapToGrid/>
              <w:spacing w:after="0"/>
              <w:jc w:val="both"/>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依法对公民、法人或者其他组织的财物实施暂时性控制的行为及行政机关对不履行行政决定的公民、法人或者其他组织，依法强制履行义务的行为</w:t>
            </w:r>
          </w:p>
        </w:tc>
        <w:tc>
          <w:tcPr>
            <w:tcW w:w="1134" w:type="dxa"/>
            <w:vMerge w:val="restart"/>
            <w:vAlign w:val="center"/>
          </w:tcPr>
          <w:p w14:paraId="18266E38">
            <w:pPr>
              <w:widowControl w:val="0"/>
              <w:autoSpaceDE w:val="0"/>
              <w:autoSpaceDN w:val="0"/>
              <w:snapToGrid/>
              <w:spacing w:after="0"/>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lang w:eastAsia="zh-CN"/>
              </w:rPr>
              <w:t>交通运输综合行政执法队</w:t>
            </w:r>
          </w:p>
        </w:tc>
        <w:tc>
          <w:tcPr>
            <w:tcW w:w="2835" w:type="dxa"/>
            <w:vAlign w:val="center"/>
          </w:tcPr>
          <w:p w14:paraId="1C760815">
            <w:pPr>
              <w:widowControl w:val="0"/>
              <w:autoSpaceDE w:val="0"/>
              <w:autoSpaceDN w:val="0"/>
              <w:snapToGrid/>
              <w:spacing w:after="0"/>
              <w:jc w:val="both"/>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重大行政强制措施：1.查封公民、法人或者其他组织生产、经营场所；2.查封公民、法人或者其他组织主要生产、经营设施；3.查封、扣押公民财物，标的金额5000元以上的；查封、扣押法人或者其他组织财物，标的金额10万元以上的。</w:t>
            </w:r>
          </w:p>
          <w:p w14:paraId="432C44AB">
            <w:pPr>
              <w:widowControl w:val="0"/>
              <w:autoSpaceDE w:val="0"/>
              <w:autoSpaceDN w:val="0"/>
              <w:snapToGrid/>
              <w:spacing w:after="0"/>
              <w:jc w:val="center"/>
              <w:rPr>
                <w:rFonts w:cs="仿宋_GB2312" w:asciiTheme="minorEastAsia" w:hAnsiTheme="minorEastAsia" w:eastAsiaTheme="minorEastAsia"/>
                <w:sz w:val="18"/>
                <w:szCs w:val="18"/>
              </w:rPr>
            </w:pPr>
          </w:p>
        </w:tc>
        <w:tc>
          <w:tcPr>
            <w:tcW w:w="1134" w:type="dxa"/>
            <w:vMerge w:val="restart"/>
            <w:vAlign w:val="center"/>
          </w:tcPr>
          <w:p w14:paraId="345941DE">
            <w:pPr>
              <w:widowControl w:val="0"/>
              <w:autoSpaceDE w:val="0"/>
              <w:autoSpaceDN w:val="0"/>
              <w:snapToGrid/>
              <w:spacing w:after="0"/>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《中华人民共和国</w:t>
            </w:r>
            <w:r>
              <w:rPr>
                <w:rFonts w:hint="eastAsia" w:cs="仿宋_GB2312" w:asciiTheme="minorEastAsia" w:hAnsiTheme="minorEastAsia" w:eastAsiaTheme="minorEastAsia"/>
                <w:sz w:val="18"/>
                <w:szCs w:val="18"/>
                <w:lang w:eastAsia="zh-CN"/>
              </w:rPr>
              <w:t>行政</w:t>
            </w:r>
            <w:bookmarkStart w:id="0" w:name="_GoBack"/>
            <w:bookmarkEnd w:id="0"/>
            <w:r>
              <w:rPr>
                <w:rFonts w:hint="eastAsia" w:cs="仿宋_GB2312" w:asciiTheme="minorEastAsia" w:hAnsiTheme="minorEastAsia" w:eastAsiaTheme="minorEastAsia"/>
                <w:sz w:val="18"/>
                <w:szCs w:val="18"/>
              </w:rPr>
              <w:t>强制法》第四条</w:t>
            </w:r>
            <w:r>
              <w:rPr>
                <w:rFonts w:hint="eastAsia" w:cs="仿宋_GB2312" w:asciiTheme="minorEastAsia" w:hAnsiTheme="minorEastAsia" w:eastAsiaTheme="minorEastAsia"/>
                <w:sz w:val="18"/>
                <w:szCs w:val="18"/>
                <w:lang w:eastAsia="zh-CN"/>
              </w:rPr>
              <w:t>；第九条；第十条；第三十四条；</w:t>
            </w:r>
            <w:r>
              <w:rPr>
                <w:rFonts w:hint="eastAsia" w:cs="仿宋_GB2312" w:asciiTheme="minorEastAsia" w:hAnsiTheme="minorEastAsia" w:eastAsiaTheme="minorEastAsia"/>
                <w:sz w:val="18"/>
                <w:szCs w:val="18"/>
              </w:rPr>
              <w:t>第四十四条</w:t>
            </w:r>
            <w:r>
              <w:rPr>
                <w:rFonts w:hint="eastAsia" w:cs="仿宋_GB2312" w:asciiTheme="minorEastAsia" w:hAnsiTheme="minorEastAsia" w:eastAsiaTheme="minorEastAsia"/>
                <w:sz w:val="18"/>
                <w:szCs w:val="18"/>
                <w:lang w:eastAsia="zh-CN"/>
              </w:rPr>
              <w:t>；</w:t>
            </w:r>
            <w:r>
              <w:rPr>
                <w:rFonts w:hint="eastAsia" w:cs="仿宋_GB2312" w:asciiTheme="minorEastAsia" w:hAnsiTheme="minorEastAsia" w:eastAsiaTheme="minorEastAsia"/>
                <w:sz w:val="18"/>
                <w:szCs w:val="18"/>
              </w:rPr>
              <w:t>第</w:t>
            </w:r>
            <w:r>
              <w:rPr>
                <w:rFonts w:hint="eastAsia" w:cs="仿宋_GB2312" w:asciiTheme="minorEastAsia" w:hAnsiTheme="minorEastAsia" w:eastAsiaTheme="minorEastAsia"/>
                <w:sz w:val="18"/>
                <w:szCs w:val="18"/>
                <w:lang w:eastAsia="zh-CN"/>
              </w:rPr>
              <w:t>五</w:t>
            </w:r>
            <w:r>
              <w:rPr>
                <w:rFonts w:hint="eastAsia" w:cs="仿宋_GB2312" w:asciiTheme="minorEastAsia" w:hAnsiTheme="minorEastAsia" w:eastAsiaTheme="minorEastAsia"/>
                <w:sz w:val="18"/>
                <w:szCs w:val="18"/>
              </w:rPr>
              <w:t>十条</w:t>
            </w:r>
          </w:p>
        </w:tc>
        <w:tc>
          <w:tcPr>
            <w:tcW w:w="1134" w:type="dxa"/>
            <w:vMerge w:val="restart"/>
            <w:vAlign w:val="center"/>
          </w:tcPr>
          <w:p w14:paraId="03BEB945">
            <w:pPr>
              <w:widowControl w:val="0"/>
              <w:autoSpaceDE w:val="0"/>
              <w:autoSpaceDN w:val="0"/>
              <w:snapToGrid/>
              <w:spacing w:after="0"/>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lang w:eastAsia="zh-CN"/>
              </w:rPr>
              <w:t>交通运输局法规股</w:t>
            </w:r>
          </w:p>
        </w:tc>
        <w:tc>
          <w:tcPr>
            <w:tcW w:w="1560" w:type="dxa"/>
            <w:vMerge w:val="restart"/>
            <w:vAlign w:val="center"/>
          </w:tcPr>
          <w:p w14:paraId="2799359D">
            <w:pPr>
              <w:shd w:val="clear" w:color="auto" w:fill="FFFFFF"/>
              <w:spacing w:after="0"/>
              <w:jc w:val="both"/>
              <w:textAlignment w:val="baseline"/>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立案审批表、现场笔录、询问笔录、勘验笔录举报笔录等；视听资料等证据资料；行政强制措施决定书、证据保存清单等；法律依据；听证笔录、评估报告；陈述申辩书等；</w:t>
            </w:r>
          </w:p>
          <w:p w14:paraId="50B44DEC">
            <w:pPr>
              <w:shd w:val="clear" w:color="auto" w:fill="FFFFFF"/>
              <w:spacing w:after="0"/>
              <w:jc w:val="both"/>
              <w:textAlignment w:val="baseline"/>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其他需要提交的材料。</w:t>
            </w:r>
          </w:p>
          <w:p w14:paraId="4D81411E">
            <w:pPr>
              <w:spacing w:after="0"/>
              <w:jc w:val="both"/>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（1.重大行政强制执行决定调查终结报告；2.重大行政强制执行决定；3.重大行政强制执行决定书代拟稿；4.相关证据材料；5.其它需要提交的材料。）</w:t>
            </w:r>
          </w:p>
          <w:p w14:paraId="17AB1332">
            <w:pPr>
              <w:shd w:val="clear" w:color="auto" w:fill="FFFFFF"/>
              <w:spacing w:after="0"/>
              <w:jc w:val="both"/>
              <w:textAlignment w:val="baseline"/>
              <w:rPr>
                <w:rFonts w:cs="仿宋_GB2312" w:asciiTheme="minorEastAsia" w:hAnsiTheme="minorEastAsia" w:eastAsiaTheme="minorEastAsia"/>
                <w:sz w:val="18"/>
                <w:szCs w:val="18"/>
              </w:rPr>
            </w:pPr>
          </w:p>
          <w:p w14:paraId="7275AF0F">
            <w:pPr>
              <w:widowControl w:val="0"/>
              <w:autoSpaceDE w:val="0"/>
              <w:autoSpaceDN w:val="0"/>
              <w:snapToGrid/>
              <w:spacing w:after="0"/>
              <w:jc w:val="both"/>
              <w:rPr>
                <w:rFonts w:cs="仿宋_GB2312" w:asciiTheme="minorEastAsia" w:hAnsiTheme="minorEastAsia" w:eastAsiaTheme="minorEastAsia"/>
                <w:sz w:val="18"/>
                <w:szCs w:val="18"/>
              </w:rPr>
            </w:pPr>
          </w:p>
        </w:tc>
        <w:tc>
          <w:tcPr>
            <w:tcW w:w="2268" w:type="dxa"/>
            <w:vMerge w:val="restart"/>
            <w:vAlign w:val="center"/>
          </w:tcPr>
          <w:p w14:paraId="40A31407">
            <w:pPr>
              <w:widowControl w:val="0"/>
              <w:autoSpaceDE w:val="0"/>
              <w:autoSpaceDN w:val="0"/>
              <w:snapToGrid/>
              <w:spacing w:after="0"/>
              <w:jc w:val="both"/>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1.公民、法人或者其他组织对行政机关实施行政强制，享有陈述权、申辩权；有权依法申请行政复</w:t>
            </w:r>
          </w:p>
          <w:p w14:paraId="662D31FF">
            <w:pPr>
              <w:widowControl w:val="0"/>
              <w:autoSpaceDE w:val="0"/>
              <w:autoSpaceDN w:val="0"/>
              <w:snapToGrid/>
              <w:spacing w:after="0"/>
              <w:jc w:val="both"/>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议或者提起行政诉讼；2.行政机关履行行政管理职责，依照法律、法规的规定，实施行政强制措施；3.行政机关在法定职权范围内实施。4.行政强制措施应当由行政机关具备资格的行政执法人员实施，其他人员不得实施。5.行政机关实施行政强制措施应当遵守下列规定：（1）实施前须向行政机关负责人报告并经批准；（2）由两名以上行政执法人员实施，并出示执法身份证件；（3）通知当事人到场；（4）当场告知当事人采取行政强制措施的理由、依据以及当事人依法享有的权利、救济途径；（5）听取当事人的陈述和申辩；（6）法律、法规规定的其他程序。</w:t>
            </w:r>
          </w:p>
          <w:p w14:paraId="60242543">
            <w:pPr>
              <w:widowControl w:val="0"/>
              <w:autoSpaceDE w:val="0"/>
              <w:autoSpaceDN w:val="0"/>
              <w:snapToGrid/>
              <w:spacing w:after="0"/>
              <w:jc w:val="both"/>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1.是否属于重大行政执法决定；2.行政执法机关主体是否合法，行政执法人员是否具备执法资格。3.适用法律、法规、规章是否准确；4.程序是否合法；5.是否有超越本机关职权范围或滥用职权的情形；6.执法文书是否规范、齐备；7.违法行为是否涉嫌犯罪需要移送司法机关；8.其他应当审核的内容。）</w:t>
            </w:r>
          </w:p>
        </w:tc>
        <w:tc>
          <w:tcPr>
            <w:tcW w:w="1166" w:type="dxa"/>
            <w:vMerge w:val="restart"/>
            <w:vAlign w:val="center"/>
          </w:tcPr>
          <w:p w14:paraId="523254F8">
            <w:pPr>
              <w:widowControl w:val="0"/>
              <w:autoSpaceDE w:val="0"/>
              <w:autoSpaceDN w:val="0"/>
              <w:snapToGrid/>
              <w:spacing w:after="0"/>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7个工作日（案件复杂或因特殊情况的，经</w:t>
            </w:r>
            <w:r>
              <w:rPr>
                <w:rFonts w:hint="eastAsia" w:cs="仿宋_GB2312" w:asciiTheme="minorEastAsia" w:hAnsiTheme="minorEastAsia" w:eastAsiaTheme="minorEastAsia"/>
                <w:sz w:val="18"/>
                <w:szCs w:val="18"/>
                <w:lang w:eastAsia="zh-CN"/>
              </w:rPr>
              <w:t>局主要</w:t>
            </w:r>
            <w:r>
              <w:rPr>
                <w:rFonts w:hint="eastAsia" w:cs="仿宋_GB2312" w:asciiTheme="minorEastAsia" w:hAnsiTheme="minorEastAsia" w:eastAsiaTheme="minorEastAsia"/>
                <w:sz w:val="18"/>
                <w:szCs w:val="18"/>
              </w:rPr>
              <w:t>负责人批准，可延长5个工作日）</w:t>
            </w:r>
          </w:p>
        </w:tc>
      </w:tr>
      <w:tr w14:paraId="03C13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vAlign w:val="center"/>
          </w:tcPr>
          <w:p w14:paraId="137183BA">
            <w:pPr>
              <w:widowControl w:val="0"/>
              <w:autoSpaceDE w:val="0"/>
              <w:autoSpaceDN w:val="0"/>
              <w:snapToGrid/>
              <w:spacing w:after="0"/>
              <w:jc w:val="center"/>
              <w:rPr>
                <w:rFonts w:cs="仿宋_GB2312" w:asciiTheme="minorEastAsia" w:hAnsiTheme="minorEastAsia" w:eastAsiaTheme="minorEastAsia"/>
                <w:sz w:val="18"/>
                <w:szCs w:val="18"/>
              </w:rPr>
            </w:pPr>
          </w:p>
        </w:tc>
        <w:tc>
          <w:tcPr>
            <w:tcW w:w="1134" w:type="dxa"/>
            <w:vMerge w:val="continue"/>
            <w:vAlign w:val="center"/>
          </w:tcPr>
          <w:p w14:paraId="20D2AA4C">
            <w:pPr>
              <w:widowControl w:val="0"/>
              <w:autoSpaceDE w:val="0"/>
              <w:autoSpaceDN w:val="0"/>
              <w:snapToGrid/>
              <w:spacing w:after="0"/>
              <w:jc w:val="center"/>
              <w:rPr>
                <w:rFonts w:cs="仿宋_GB2312" w:asciiTheme="minorEastAsia" w:hAnsiTheme="minorEastAsia" w:eastAsiaTheme="minorEastAsia"/>
                <w:sz w:val="18"/>
                <w:szCs w:val="18"/>
              </w:rPr>
            </w:pPr>
          </w:p>
        </w:tc>
        <w:tc>
          <w:tcPr>
            <w:tcW w:w="1134" w:type="dxa"/>
            <w:vMerge w:val="continue"/>
            <w:vAlign w:val="center"/>
          </w:tcPr>
          <w:p w14:paraId="0B0ECBEE">
            <w:pPr>
              <w:widowControl w:val="0"/>
              <w:autoSpaceDE w:val="0"/>
              <w:autoSpaceDN w:val="0"/>
              <w:snapToGrid/>
              <w:spacing w:after="0"/>
              <w:jc w:val="both"/>
              <w:rPr>
                <w:rFonts w:cs="仿宋_GB2312" w:asciiTheme="minorEastAsia" w:hAnsiTheme="minorEastAsia" w:eastAsiaTheme="minorEastAsia"/>
                <w:sz w:val="18"/>
                <w:szCs w:val="18"/>
              </w:rPr>
            </w:pPr>
          </w:p>
        </w:tc>
        <w:tc>
          <w:tcPr>
            <w:tcW w:w="1134" w:type="dxa"/>
            <w:vMerge w:val="continue"/>
            <w:vAlign w:val="center"/>
          </w:tcPr>
          <w:p w14:paraId="263B8816">
            <w:pPr>
              <w:widowControl w:val="0"/>
              <w:autoSpaceDE w:val="0"/>
              <w:autoSpaceDN w:val="0"/>
              <w:snapToGrid/>
              <w:spacing w:after="0"/>
              <w:jc w:val="center"/>
              <w:rPr>
                <w:rFonts w:cs="仿宋_GB2312" w:asciiTheme="minorEastAsia" w:hAnsiTheme="minorEastAsia" w:eastAsiaTheme="minorEastAsia"/>
                <w:sz w:val="18"/>
                <w:szCs w:val="18"/>
              </w:rPr>
            </w:pPr>
          </w:p>
        </w:tc>
        <w:tc>
          <w:tcPr>
            <w:tcW w:w="2835" w:type="dxa"/>
            <w:vAlign w:val="center"/>
          </w:tcPr>
          <w:p w14:paraId="0F56E3D0">
            <w:pPr>
              <w:widowControl w:val="0"/>
              <w:autoSpaceDE w:val="0"/>
              <w:autoSpaceDN w:val="0"/>
              <w:snapToGrid/>
              <w:spacing w:after="0"/>
              <w:jc w:val="both"/>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重大行政强制执行：1.拍卖或者依法处理查封的公民、法人或者其他组织生产、经营场所；2.拍卖或者依法处理查封的公民、法人或者其他组织主要生产、经营设施；3.拍卖或者依法处理查封、扣押的公民财物，标的金额5000元以上的；拍卖或者依法处理查封、扣押的法人或者其他组织财物，标的金额10万元以上的；4.强制拆除违法的建筑物、构筑物或者设施等；5.代履行，履行费用5000元以上的。</w:t>
            </w:r>
          </w:p>
          <w:p w14:paraId="769B6AB8">
            <w:pPr>
              <w:widowControl w:val="0"/>
              <w:autoSpaceDE w:val="0"/>
              <w:autoSpaceDN w:val="0"/>
              <w:snapToGrid/>
              <w:spacing w:after="0"/>
              <w:jc w:val="center"/>
              <w:rPr>
                <w:rFonts w:cs="仿宋_GB2312" w:asciiTheme="minorEastAsia" w:hAnsiTheme="minorEastAsia" w:eastAsiaTheme="minorEastAsia"/>
                <w:sz w:val="18"/>
                <w:szCs w:val="18"/>
              </w:rPr>
            </w:pPr>
          </w:p>
        </w:tc>
        <w:tc>
          <w:tcPr>
            <w:tcW w:w="1134" w:type="dxa"/>
            <w:vMerge w:val="continue"/>
            <w:vAlign w:val="center"/>
          </w:tcPr>
          <w:p w14:paraId="13058405">
            <w:pPr>
              <w:widowControl w:val="0"/>
              <w:autoSpaceDE w:val="0"/>
              <w:autoSpaceDN w:val="0"/>
              <w:snapToGrid/>
              <w:spacing w:after="0"/>
              <w:jc w:val="center"/>
              <w:rPr>
                <w:rFonts w:cs="仿宋_GB2312" w:asciiTheme="minorEastAsia" w:hAnsiTheme="minorEastAsia" w:eastAsiaTheme="minorEastAsia"/>
                <w:sz w:val="18"/>
                <w:szCs w:val="18"/>
              </w:rPr>
            </w:pPr>
          </w:p>
        </w:tc>
        <w:tc>
          <w:tcPr>
            <w:tcW w:w="1134" w:type="dxa"/>
            <w:vMerge w:val="continue"/>
            <w:vAlign w:val="center"/>
          </w:tcPr>
          <w:p w14:paraId="0E62DC8F">
            <w:pPr>
              <w:widowControl w:val="0"/>
              <w:autoSpaceDE w:val="0"/>
              <w:autoSpaceDN w:val="0"/>
              <w:snapToGrid/>
              <w:spacing w:after="0"/>
              <w:jc w:val="center"/>
              <w:rPr>
                <w:rFonts w:cs="仿宋_GB2312" w:asciiTheme="minorEastAsia" w:hAnsiTheme="minorEastAsia" w:eastAsiaTheme="minorEastAsia"/>
                <w:sz w:val="18"/>
                <w:szCs w:val="18"/>
              </w:rPr>
            </w:pPr>
          </w:p>
        </w:tc>
        <w:tc>
          <w:tcPr>
            <w:tcW w:w="1560" w:type="dxa"/>
            <w:vMerge w:val="continue"/>
            <w:vAlign w:val="center"/>
          </w:tcPr>
          <w:p w14:paraId="562F9073">
            <w:pPr>
              <w:widowControl w:val="0"/>
              <w:autoSpaceDE w:val="0"/>
              <w:autoSpaceDN w:val="0"/>
              <w:snapToGrid/>
              <w:spacing w:after="0"/>
              <w:jc w:val="center"/>
              <w:rPr>
                <w:rFonts w:cs="仿宋_GB2312" w:asciiTheme="minorEastAsia" w:hAnsiTheme="minorEastAsia" w:eastAsiaTheme="minorEastAsia"/>
                <w:sz w:val="18"/>
                <w:szCs w:val="18"/>
              </w:rPr>
            </w:pPr>
          </w:p>
        </w:tc>
        <w:tc>
          <w:tcPr>
            <w:tcW w:w="2268" w:type="dxa"/>
            <w:vMerge w:val="continue"/>
            <w:vAlign w:val="center"/>
          </w:tcPr>
          <w:p w14:paraId="448A70DF">
            <w:pPr>
              <w:widowControl w:val="0"/>
              <w:autoSpaceDE w:val="0"/>
              <w:autoSpaceDN w:val="0"/>
              <w:snapToGrid/>
              <w:spacing w:after="0"/>
              <w:jc w:val="center"/>
              <w:rPr>
                <w:rFonts w:cs="仿宋_GB2312" w:asciiTheme="minorEastAsia" w:hAnsiTheme="minorEastAsia" w:eastAsiaTheme="minorEastAsia"/>
                <w:sz w:val="18"/>
                <w:szCs w:val="18"/>
              </w:rPr>
            </w:pPr>
          </w:p>
        </w:tc>
        <w:tc>
          <w:tcPr>
            <w:tcW w:w="1166" w:type="dxa"/>
            <w:vMerge w:val="continue"/>
            <w:vAlign w:val="center"/>
          </w:tcPr>
          <w:p w14:paraId="48A681F7">
            <w:pPr>
              <w:widowControl w:val="0"/>
              <w:autoSpaceDE w:val="0"/>
              <w:autoSpaceDN w:val="0"/>
              <w:snapToGrid/>
              <w:spacing w:after="0"/>
              <w:jc w:val="center"/>
              <w:rPr>
                <w:rFonts w:cs="仿宋_GB2312" w:asciiTheme="minorEastAsia" w:hAnsiTheme="minorEastAsia" w:eastAsiaTheme="minorEastAsia"/>
                <w:sz w:val="18"/>
                <w:szCs w:val="18"/>
              </w:rPr>
            </w:pPr>
          </w:p>
        </w:tc>
      </w:tr>
    </w:tbl>
    <w:p w14:paraId="005EAE6C">
      <w:pPr>
        <w:widowControl w:val="0"/>
        <w:autoSpaceDE w:val="0"/>
        <w:autoSpaceDN w:val="0"/>
        <w:snapToGrid/>
        <w:spacing w:after="0" w:line="500" w:lineRule="exact"/>
        <w:rPr>
          <w:rFonts w:ascii="仿宋_GB2312" w:eastAsia="仿宋_GB2312" w:cs="仿宋_GB2312" w:hAnsiTheme="minorHAnsi"/>
          <w:sz w:val="32"/>
          <w:szCs w:val="32"/>
        </w:rPr>
      </w:pPr>
    </w:p>
    <w:p w14:paraId="704192A5">
      <w:pPr>
        <w:spacing w:line="600" w:lineRule="exact"/>
        <w:rPr>
          <w:rFonts w:ascii="仿宋_GB2312" w:hAnsi="方正小标宋简体" w:eastAsia="仿宋_GB2312" w:cs="方正小标宋简体"/>
          <w:kern w:val="2"/>
          <w:sz w:val="32"/>
          <w:szCs w:val="32"/>
        </w:rPr>
      </w:pPr>
    </w:p>
    <w:sectPr>
      <w:footerReference r:id="rId5" w:type="default"/>
      <w:pgSz w:w="16838" w:h="11906" w:orient="landscape"/>
      <w:pgMar w:top="1474" w:right="1871" w:bottom="1587" w:left="1871" w:header="851" w:footer="1417" w:gutter="0"/>
      <w:cols w:space="0" w:num="1"/>
      <w:docGrid w:type="lines" w:linePitch="31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script"/>
    <w:pitch w:val="default"/>
    <w:sig w:usb0="00000001" w:usb1="080E0000" w:usb2="00000000" w:usb3="00000000" w:csb0="00040000" w:csb1="00000000"/>
  </w:font>
  <w:font w:name="FZXBSJW--GB1-0">
    <w:altName w:val="黑体"/>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CB3932">
    <w:pPr>
      <w:pStyle w:val="6"/>
      <w:ind w:right="360" w:firstLine="360"/>
    </w:pPr>
    <w:r>
      <w:pict>
        <v:shape id="_x0000_s53249" o:spid="_x0000_s53249"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6alu7cBAABUAwAADgAAAGRycy9lMm9Eb2MueG1srVNLbtswEN0H6B0I&#10;7mspAlK4gumgRZCiQJAWSHIAmiItAvxhSFvyBZIbdNVN9zmXz5EhbTlFswu6oWY4wzfvzYwWl6M1&#10;ZCshau8YPZ/VlEgnfKfdmtGH++uPc0pi4q7jxjvJ6E5Gern8cLYYQisb33vTSSAI4mI7BEb7lEJb&#10;VVH00vI480E6DCoPlid0YV11wAdEt6Zq6vpTNXjoAnghY8Tbq0OQLgu+UlKkH0pFmYhhFLmlckI5&#10;V/mslgveroGHXosjDf4OFpZrh0VPUFc8cbIB/QbKagE+epVmwtvKK6WFLBpQzXn9j5q7ngdZtGBz&#10;Yji1Kf4/WHG7/QlEd4w2lDhucUT7X0/738/7P4+kye0ZQmwx6y5gXhq/+hHHPN1HvMyqRwU2f1EP&#10;wTg2endqrhwTEfnRvJnPawwJjE0O4levzwPE9E16S7LBKOD0SlP59iamQ+qUkqs5f62NKRM0jgyM&#10;fr5oLsqDUwTBjcMaWcSBbLbSuBqPyla+26GwATeAUYcrSon57rDBeVkmAyZjNRmbAHrdl23KTGL4&#10;sknIppDMFQ6wx8I4uiLzuGZ5N/72S9brz7B8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B7&#10;pqW7twEAAFQDAAAOAAAAAAAAAAEAIAAAAB4BAABkcnMvZTJvRG9jLnhtbFBLBQYAAAAABgAGAFkB&#10;AABHBQAAAAA=&#10;">
          <v:path/>
          <v:fill on="f" focussize="0,0"/>
          <v:stroke on="f" joinstyle="miter"/>
          <v:imagedata o:title=""/>
          <o:lock v:ext="edit"/>
          <v:textbox inset="0mm,0mm,0mm,0mm" style="mso-fit-shape-to-text:t;">
            <w:txbxContent>
              <w:p w14:paraId="5D28091B">
                <w:pPr>
                  <w:pStyle w:val="6"/>
                  <w:rPr>
                    <w:rFonts w:ascii="宋体"/>
                    <w:sz w:val="28"/>
                  </w:rPr>
                </w:pPr>
                <w:r>
                  <w:rPr>
                    <w:rFonts w:ascii="宋体" w:hAnsi="宋体"/>
                    <w:color w:val="FFFFFF"/>
                    <w:sz w:val="28"/>
                  </w:rPr>
                  <w:t>—</w:t>
                </w:r>
                <w:r>
                  <w:rPr>
                    <w:rFonts w:ascii="宋体" w:hAnsi="宋体"/>
                    <w:sz w:val="28"/>
                  </w:rPr>
                  <w:t xml:space="preserve">— </w:t>
                </w:r>
                <w:r>
                  <w:rPr>
                    <w:rFonts w:ascii="宋体" w:hAnsi="宋体"/>
                    <w:sz w:val="28"/>
                  </w:rPr>
                  <w:fldChar w:fldCharType="begin"/>
                </w:r>
                <w:r>
                  <w:rPr>
                    <w:rFonts w:ascii="宋体" w:hAnsi="宋体"/>
                    <w:sz w:val="28"/>
                  </w:rPr>
                  <w:instrText xml:space="preserve">PAGE  </w:instrText>
                </w:r>
                <w:r>
                  <w:rPr>
                    <w:rFonts w:ascii="宋体" w:hAnsi="宋体"/>
                    <w:sz w:val="28"/>
                  </w:rPr>
                  <w:fldChar w:fldCharType="separate"/>
                </w:r>
                <w:r>
                  <w:rPr>
                    <w:rFonts w:ascii="宋体" w:hAnsi="宋体"/>
                    <w:sz w:val="28"/>
                  </w:rPr>
                  <w:t>1</w:t>
                </w:r>
                <w:r>
                  <w:rPr>
                    <w:rFonts w:ascii="宋体" w:hAnsi="宋体"/>
                    <w:sz w:val="28"/>
                  </w:rPr>
                  <w:fldChar w:fldCharType="end"/>
                </w:r>
                <w:r>
                  <w:rPr>
                    <w:rFonts w:ascii="宋体" w:hAnsi="宋体"/>
                    <w:sz w:val="28"/>
                  </w:rPr>
                  <w:t xml:space="preserve"> —</w:t>
                </w:r>
                <w:r>
                  <w:rPr>
                    <w:rFonts w:ascii="宋体" w:hAnsi="宋体"/>
                    <w:color w:val="FFFFFF"/>
                    <w:sz w:val="28"/>
                  </w:rPr>
                  <w:t>—</w:t>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720"/>
  <w:drawingGridHorizontalSpacing w:val="110"/>
  <w:displayHorizontalDrawingGridEvery w:val="2"/>
  <w:characterSpacingControl w:val="doNotCompress"/>
  <w:hdrShapeDefaults>
    <o:shapelayout v:ext="edit">
      <o:idmap v:ext="edit" data="52"/>
    </o:shapelayout>
  </w:hdrShapeDefaults>
  <w:footnotePr>
    <w:footnote w:id="0"/>
    <w:footnote w:id="1"/>
  </w:footnotePr>
  <w:endnotePr>
    <w:endnote w:id="0"/>
    <w:endnote w:id="1"/>
  </w:endnotePr>
  <w:compat>
    <w:useFELayout/>
    <w:compatSetting w:name="compatibilityMode" w:uri="http://schemas.microsoft.com/office/word" w:val="12"/>
  </w:compat>
  <w:docVars>
    <w:docVar w:name="commondata" w:val="eyJoZGlkIjoiZGFiYjA5MDhmYTdkMDRkYWU2YTM0YWM0NmVmMWU4ZTgifQ=="/>
  </w:docVars>
  <w:rsids>
    <w:rsidRoot w:val="00D31D50"/>
    <w:rsid w:val="00006CA4"/>
    <w:rsid w:val="000072E9"/>
    <w:rsid w:val="0003294F"/>
    <w:rsid w:val="00055DE7"/>
    <w:rsid w:val="0007513C"/>
    <w:rsid w:val="000B522B"/>
    <w:rsid w:val="000C2885"/>
    <w:rsid w:val="000D6E13"/>
    <w:rsid w:val="000E3C89"/>
    <w:rsid w:val="001509C5"/>
    <w:rsid w:val="00155AB2"/>
    <w:rsid w:val="00170D0C"/>
    <w:rsid w:val="0018477A"/>
    <w:rsid w:val="0018677B"/>
    <w:rsid w:val="00191A56"/>
    <w:rsid w:val="001A7C7F"/>
    <w:rsid w:val="001C4D54"/>
    <w:rsid w:val="001D72DC"/>
    <w:rsid w:val="001F5A33"/>
    <w:rsid w:val="00206CFC"/>
    <w:rsid w:val="00220873"/>
    <w:rsid w:val="00257B4C"/>
    <w:rsid w:val="00283484"/>
    <w:rsid w:val="002D6F9B"/>
    <w:rsid w:val="002E1A18"/>
    <w:rsid w:val="002F224E"/>
    <w:rsid w:val="00310C0B"/>
    <w:rsid w:val="00313E5A"/>
    <w:rsid w:val="00321369"/>
    <w:rsid w:val="00323B43"/>
    <w:rsid w:val="00331074"/>
    <w:rsid w:val="00342902"/>
    <w:rsid w:val="003614D3"/>
    <w:rsid w:val="003636A1"/>
    <w:rsid w:val="00374BD7"/>
    <w:rsid w:val="00385E8E"/>
    <w:rsid w:val="0038754C"/>
    <w:rsid w:val="00396163"/>
    <w:rsid w:val="003D37D8"/>
    <w:rsid w:val="003F574E"/>
    <w:rsid w:val="0040381D"/>
    <w:rsid w:val="00404405"/>
    <w:rsid w:val="00426133"/>
    <w:rsid w:val="0042762F"/>
    <w:rsid w:val="004358AB"/>
    <w:rsid w:val="0044280B"/>
    <w:rsid w:val="00490818"/>
    <w:rsid w:val="004B1DC3"/>
    <w:rsid w:val="005144B9"/>
    <w:rsid w:val="005360F1"/>
    <w:rsid w:val="005573AF"/>
    <w:rsid w:val="005E03DF"/>
    <w:rsid w:val="005E4C9E"/>
    <w:rsid w:val="00602C6A"/>
    <w:rsid w:val="007132D5"/>
    <w:rsid w:val="007212C1"/>
    <w:rsid w:val="00760B84"/>
    <w:rsid w:val="00774C91"/>
    <w:rsid w:val="00784059"/>
    <w:rsid w:val="007A6916"/>
    <w:rsid w:val="007C334B"/>
    <w:rsid w:val="007D27A6"/>
    <w:rsid w:val="007D7B94"/>
    <w:rsid w:val="007F3945"/>
    <w:rsid w:val="007F7FAA"/>
    <w:rsid w:val="00820609"/>
    <w:rsid w:val="00834980"/>
    <w:rsid w:val="008401A1"/>
    <w:rsid w:val="008748E4"/>
    <w:rsid w:val="00883403"/>
    <w:rsid w:val="00884929"/>
    <w:rsid w:val="008B7726"/>
    <w:rsid w:val="008C01D4"/>
    <w:rsid w:val="008C0E44"/>
    <w:rsid w:val="008D102B"/>
    <w:rsid w:val="008D6869"/>
    <w:rsid w:val="008E778A"/>
    <w:rsid w:val="009A4A46"/>
    <w:rsid w:val="009B5DA4"/>
    <w:rsid w:val="009C2818"/>
    <w:rsid w:val="009C35FD"/>
    <w:rsid w:val="009C62BE"/>
    <w:rsid w:val="009D358C"/>
    <w:rsid w:val="009D6086"/>
    <w:rsid w:val="009E47A7"/>
    <w:rsid w:val="009F3C9E"/>
    <w:rsid w:val="009F7139"/>
    <w:rsid w:val="00A32E14"/>
    <w:rsid w:val="00A46AC3"/>
    <w:rsid w:val="00A634E7"/>
    <w:rsid w:val="00A75235"/>
    <w:rsid w:val="00A84208"/>
    <w:rsid w:val="00A91A27"/>
    <w:rsid w:val="00AA078F"/>
    <w:rsid w:val="00AE5D95"/>
    <w:rsid w:val="00AF5D91"/>
    <w:rsid w:val="00B36B05"/>
    <w:rsid w:val="00B46C04"/>
    <w:rsid w:val="00B74B2E"/>
    <w:rsid w:val="00B801EC"/>
    <w:rsid w:val="00B87EF9"/>
    <w:rsid w:val="00BC07E4"/>
    <w:rsid w:val="00BD02A3"/>
    <w:rsid w:val="00BF49BB"/>
    <w:rsid w:val="00C052F0"/>
    <w:rsid w:val="00C64C27"/>
    <w:rsid w:val="00C93A77"/>
    <w:rsid w:val="00CA3169"/>
    <w:rsid w:val="00CC4A65"/>
    <w:rsid w:val="00CD257C"/>
    <w:rsid w:val="00D2248D"/>
    <w:rsid w:val="00D31D50"/>
    <w:rsid w:val="00D97114"/>
    <w:rsid w:val="00DD59BD"/>
    <w:rsid w:val="00E20BB1"/>
    <w:rsid w:val="00E3346E"/>
    <w:rsid w:val="00E42833"/>
    <w:rsid w:val="00E61E69"/>
    <w:rsid w:val="00E86D1F"/>
    <w:rsid w:val="00E9271A"/>
    <w:rsid w:val="00ED33C1"/>
    <w:rsid w:val="00F26893"/>
    <w:rsid w:val="00F268D9"/>
    <w:rsid w:val="00F3797D"/>
    <w:rsid w:val="00F46411"/>
    <w:rsid w:val="00FB0135"/>
    <w:rsid w:val="00FD488C"/>
    <w:rsid w:val="213324C1"/>
    <w:rsid w:val="30A95EF0"/>
    <w:rsid w:val="362D2B2F"/>
    <w:rsid w:val="43722A5F"/>
    <w:rsid w:val="4F696E15"/>
    <w:rsid w:val="681D48DE"/>
    <w:rsid w:val="6CE71E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2">
    <w:name w:val="heading 1"/>
    <w:basedOn w:val="1"/>
    <w:next w:val="1"/>
    <w:link w:val="20"/>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4"/>
    <w:qFormat/>
    <w:uiPriority w:val="9"/>
    <w:pPr>
      <w:adjustRightInd/>
      <w:snapToGrid/>
      <w:spacing w:before="100" w:beforeAutospacing="1" w:after="100" w:afterAutospacing="1"/>
      <w:outlineLvl w:val="1"/>
    </w:pPr>
    <w:rPr>
      <w:rFonts w:ascii="宋体" w:hAnsi="宋体" w:eastAsia="宋体" w:cs="宋体"/>
      <w:b/>
      <w:bCs/>
      <w:sz w:val="36"/>
      <w:szCs w:val="36"/>
    </w:rPr>
  </w:style>
  <w:style w:type="paragraph" w:styleId="4">
    <w:name w:val="heading 3"/>
    <w:basedOn w:val="1"/>
    <w:next w:val="1"/>
    <w:link w:val="18"/>
    <w:unhideWhenUsed/>
    <w:qFormat/>
    <w:uiPriority w:val="9"/>
    <w:pPr>
      <w:keepNext/>
      <w:keepLines/>
      <w:spacing w:before="260" w:after="260" w:line="416" w:lineRule="auto"/>
      <w:outlineLvl w:val="2"/>
    </w:pPr>
    <w:rPr>
      <w:b/>
      <w:bCs/>
      <w:sz w:val="32"/>
      <w:szCs w:val="32"/>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21"/>
    <w:semiHidden/>
    <w:unhideWhenUsed/>
    <w:qFormat/>
    <w:uiPriority w:val="99"/>
    <w:pPr>
      <w:spacing w:after="0"/>
    </w:pPr>
    <w:rPr>
      <w:sz w:val="18"/>
      <w:szCs w:val="18"/>
    </w:rPr>
  </w:style>
  <w:style w:type="paragraph" w:styleId="6">
    <w:name w:val="footer"/>
    <w:basedOn w:val="1"/>
    <w:link w:val="23"/>
    <w:unhideWhenUsed/>
    <w:qFormat/>
    <w:uiPriority w:val="0"/>
    <w:pPr>
      <w:tabs>
        <w:tab w:val="center" w:pos="4153"/>
        <w:tab w:val="right" w:pos="8306"/>
      </w:tabs>
    </w:pPr>
    <w:rPr>
      <w:sz w:val="18"/>
      <w:szCs w:val="18"/>
    </w:rPr>
  </w:style>
  <w:style w:type="paragraph" w:styleId="7">
    <w:name w:val="header"/>
    <w:basedOn w:val="1"/>
    <w:link w:val="22"/>
    <w:semiHidden/>
    <w:unhideWhenUsed/>
    <w:qFormat/>
    <w:uiPriority w:val="99"/>
    <w:pPr>
      <w:pBdr>
        <w:bottom w:val="single" w:color="auto" w:sz="6" w:space="1"/>
      </w:pBdr>
      <w:tabs>
        <w:tab w:val="center" w:pos="4153"/>
        <w:tab w:val="right" w:pos="8306"/>
      </w:tabs>
      <w:jc w:val="center"/>
    </w:pPr>
    <w:rPr>
      <w:sz w:val="18"/>
      <w:szCs w:val="18"/>
    </w:rPr>
  </w:style>
  <w:style w:type="paragraph" w:styleId="8">
    <w:name w:val="Normal (Web)"/>
    <w:basedOn w:val="1"/>
    <w:unhideWhenUsed/>
    <w:qFormat/>
    <w:uiPriority w:val="99"/>
    <w:pPr>
      <w:adjustRightInd/>
      <w:snapToGrid/>
      <w:spacing w:before="100" w:beforeAutospacing="1" w:after="100" w:afterAutospacing="1"/>
    </w:pPr>
    <w:rPr>
      <w:rFonts w:ascii="宋体" w:hAnsi="宋体" w:eastAsia="宋体" w:cs="宋体"/>
      <w:sz w:val="24"/>
      <w:szCs w:val="24"/>
    </w:rPr>
  </w:style>
  <w:style w:type="table" w:styleId="10">
    <w:name w:val="Table Grid"/>
    <w:basedOn w:val="9"/>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basedOn w:val="11"/>
    <w:qFormat/>
    <w:uiPriority w:val="22"/>
    <w:rPr>
      <w:b/>
      <w:bCs/>
    </w:rPr>
  </w:style>
  <w:style w:type="character" w:styleId="13">
    <w:name w:val="Hyperlink"/>
    <w:basedOn w:val="11"/>
    <w:semiHidden/>
    <w:unhideWhenUsed/>
    <w:uiPriority w:val="99"/>
    <w:rPr>
      <w:color w:val="0000FF"/>
      <w:u w:val="single"/>
    </w:rPr>
  </w:style>
  <w:style w:type="character" w:customStyle="1" w:styleId="14">
    <w:name w:val="标题 2 Char"/>
    <w:basedOn w:val="11"/>
    <w:link w:val="3"/>
    <w:qFormat/>
    <w:uiPriority w:val="9"/>
    <w:rPr>
      <w:rFonts w:ascii="宋体" w:hAnsi="宋体" w:eastAsia="宋体" w:cs="宋体"/>
      <w:b/>
      <w:bCs/>
      <w:sz w:val="36"/>
      <w:szCs w:val="36"/>
    </w:rPr>
  </w:style>
  <w:style w:type="character" w:customStyle="1" w:styleId="15">
    <w:name w:val="grey"/>
    <w:basedOn w:val="11"/>
    <w:qFormat/>
    <w:uiPriority w:val="0"/>
  </w:style>
  <w:style w:type="paragraph" w:customStyle="1" w:styleId="16">
    <w:name w:val="summary"/>
    <w:basedOn w:val="1"/>
    <w:qFormat/>
    <w:uiPriority w:val="0"/>
    <w:pPr>
      <w:adjustRightInd/>
      <w:snapToGrid/>
      <w:spacing w:before="100" w:beforeAutospacing="1" w:after="100" w:afterAutospacing="1"/>
    </w:pPr>
    <w:rPr>
      <w:rFonts w:ascii="宋体" w:hAnsi="宋体" w:eastAsia="宋体" w:cs="宋体"/>
      <w:sz w:val="24"/>
      <w:szCs w:val="24"/>
    </w:rPr>
  </w:style>
  <w:style w:type="paragraph" w:styleId="17">
    <w:name w:val="List Paragraph"/>
    <w:basedOn w:val="1"/>
    <w:qFormat/>
    <w:uiPriority w:val="34"/>
    <w:pPr>
      <w:ind w:firstLine="420" w:firstLineChars="200"/>
    </w:pPr>
  </w:style>
  <w:style w:type="character" w:customStyle="1" w:styleId="18">
    <w:name w:val="标题 3 Char"/>
    <w:basedOn w:val="11"/>
    <w:link w:val="4"/>
    <w:qFormat/>
    <w:uiPriority w:val="9"/>
    <w:rPr>
      <w:rFonts w:ascii="Tahoma" w:hAnsi="Tahoma"/>
      <w:b/>
      <w:bCs/>
      <w:sz w:val="32"/>
      <w:szCs w:val="32"/>
    </w:rPr>
  </w:style>
  <w:style w:type="character" w:customStyle="1" w:styleId="19">
    <w:name w:val="p_r201"/>
    <w:basedOn w:val="11"/>
    <w:qFormat/>
    <w:uiPriority w:val="0"/>
  </w:style>
  <w:style w:type="character" w:customStyle="1" w:styleId="20">
    <w:name w:val="标题 1 Char"/>
    <w:basedOn w:val="11"/>
    <w:link w:val="2"/>
    <w:qFormat/>
    <w:uiPriority w:val="9"/>
    <w:rPr>
      <w:rFonts w:ascii="Tahoma" w:hAnsi="Tahoma"/>
      <w:b/>
      <w:bCs/>
      <w:kern w:val="44"/>
      <w:sz w:val="44"/>
      <w:szCs w:val="44"/>
    </w:rPr>
  </w:style>
  <w:style w:type="character" w:customStyle="1" w:styleId="21">
    <w:name w:val="批注框文本 Char"/>
    <w:basedOn w:val="11"/>
    <w:link w:val="5"/>
    <w:semiHidden/>
    <w:qFormat/>
    <w:uiPriority w:val="99"/>
    <w:rPr>
      <w:rFonts w:ascii="Tahoma" w:hAnsi="Tahoma"/>
      <w:sz w:val="18"/>
      <w:szCs w:val="18"/>
    </w:rPr>
  </w:style>
  <w:style w:type="character" w:customStyle="1" w:styleId="22">
    <w:name w:val="页眉 Char"/>
    <w:basedOn w:val="11"/>
    <w:link w:val="7"/>
    <w:semiHidden/>
    <w:qFormat/>
    <w:uiPriority w:val="99"/>
    <w:rPr>
      <w:rFonts w:ascii="Tahoma" w:hAnsi="Tahoma"/>
      <w:sz w:val="18"/>
      <w:szCs w:val="18"/>
    </w:rPr>
  </w:style>
  <w:style w:type="character" w:customStyle="1" w:styleId="23">
    <w:name w:val="页脚 Char"/>
    <w:basedOn w:val="11"/>
    <w:link w:val="6"/>
    <w:qFormat/>
    <w:uiPriority w:val="0"/>
    <w:rPr>
      <w:rFonts w:ascii="Tahoma" w:hAnsi="Tahoma"/>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532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1510</Words>
  <Characters>1556</Characters>
  <Lines>11</Lines>
  <Paragraphs>3</Paragraphs>
  <TotalTime>18</TotalTime>
  <ScaleCrop>false</ScaleCrop>
  <LinksUpToDate>false</LinksUpToDate>
  <CharactersWithSpaces>1556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Administrator</cp:lastModifiedBy>
  <cp:lastPrinted>2023-09-28T01:01:00Z</cp:lastPrinted>
  <dcterms:modified xsi:type="dcterms:W3CDTF">2025-04-25T00:48:46Z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FEC986CB9750442497332A83939BB1BF_12</vt:lpwstr>
  </property>
  <property fmtid="{D5CDD505-2E9C-101B-9397-08002B2CF9AE}" pid="4" name="KSOTemplateDocerSaveRecord">
    <vt:lpwstr>eyJoZGlkIjoiMmU0MjA2OWI2YmE0OTkyYzEyNTlmMTVjZmVjMDgzMWIifQ==</vt:lpwstr>
  </property>
</Properties>
</file>